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bookmarkStart w:id="1" w:name="_GoBack"/>
      <w:bookmarkEnd w:id="1"/>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left="0" w:leftChars="0" w:firstLine="0" w:firstLineChars="0"/>
        <w:rPr>
          <w:rFonts w:ascii="Times New Roman" w:hAnsi="Times New Roman" w:cs="Times New Roman"/>
          <w:highlight w:val="none"/>
        </w:rPr>
      </w:pPr>
    </w:p>
    <w:p>
      <w:pPr>
        <w:pStyle w:val="19"/>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rPr>
        <w:t>中和镇中和村7、9、10、13组</w:t>
      </w:r>
    </w:p>
    <w:p>
      <w:pPr>
        <w:rPr>
          <w:rFonts w:ascii="Times New Roman" w:hAnsi="Times New Roman" w:cs="Times New Roman"/>
          <w:highlight w:val="none"/>
        </w:rPr>
      </w:pPr>
    </w:p>
    <w:p>
      <w:pPr>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ZH-2-16-1</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9"/>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512002 014014 GB00131</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19"/>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7</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13</w:t>
      </w:r>
      <w:r>
        <w:rPr>
          <w:rFonts w:ascii="Times New Roman" w:hAnsi="Times New Roman" w:eastAsia="仿宋_GB2312" w:cs="Times New Roman"/>
          <w:b/>
          <w:bCs/>
          <w:sz w:val="44"/>
          <w:szCs w:val="44"/>
          <w:highlight w:val="none"/>
        </w:rPr>
        <w:t>日</w:t>
      </w:r>
    </w:p>
    <w:p>
      <w:pPr>
        <w:jc w:val="center"/>
        <w:rPr>
          <w:rFonts w:ascii="Times New Roman" w:hAnsi="Times New Roman" w:eastAsia="仿宋_GB2312" w:cs="Times New Roman"/>
          <w:bCs/>
          <w:sz w:val="44"/>
          <w:szCs w:val="44"/>
          <w:highlight w:val="none"/>
        </w:rPr>
      </w:pPr>
    </w:p>
    <w:p>
      <w:pPr>
        <w:pStyle w:val="19"/>
        <w:rPr>
          <w:highlight w:val="none"/>
        </w:rPr>
      </w:pPr>
    </w:p>
    <w:p>
      <w:pPr>
        <w:pStyle w:val="19"/>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9"/>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rPr>
        <w:t>ZH-2-16-1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pacing w:val="28"/>
          <w:sz w:val="32"/>
          <w:szCs w:val="32"/>
          <w:highlight w:val="none"/>
        </w:rPr>
        <w:t>6、挂牌出让报价单（样本）</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7、</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8、</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z w:val="32"/>
          <w:szCs w:val="32"/>
          <w:highlight w:val="none"/>
        </w:rPr>
        <w:t>9、</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10、建设项目用地信息公示牌（模板）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11、建设项目动工申报书（样本）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12、建设项目竣工申报书（样本）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13、交地申请（样本）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号</w:t>
      </w:r>
    </w:p>
    <w:p>
      <w:pPr>
        <w:pStyle w:val="19"/>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rPr>
        <w:t>中和镇中和村7、9、10、13组</w:t>
      </w:r>
      <w:r>
        <w:rPr>
          <w:rFonts w:hint="eastAsia" w:ascii="Times New Roman" w:hAnsi="Times New Roman" w:eastAsia="方正仿宋_GBK"/>
          <w:sz w:val="32"/>
          <w:szCs w:val="32"/>
          <w:highlight w:val="none"/>
        </w:rPr>
        <w:t>一</w:t>
      </w:r>
      <w:r>
        <w:rPr>
          <w:rFonts w:ascii="Times New Roman" w:hAnsi="Times New Roman" w:eastAsia="方正仿宋_GBK" w:cs="Times New Roman"/>
          <w:sz w:val="32"/>
          <w:szCs w:val="32"/>
          <w:highlight w:val="none"/>
        </w:rPr>
        <w:t>宗国有建设用地使用权。现将有关事项公告如下：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3"/>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187"/>
        <w:gridCol w:w="1134"/>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jc w:val="center"/>
        </w:trPr>
        <w:tc>
          <w:tcPr>
            <w:tcW w:w="1008"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87"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03"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8"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ascii="Times New Roman" w:hAnsi="Times New Roman" w:eastAsia="黑体" w:cs="Times New Roman"/>
                <w:sz w:val="24"/>
                <w:highlight w:val="none"/>
              </w:rPr>
            </w:pPr>
            <w:r>
              <w:rPr>
                <w:rFonts w:hint="eastAsia" w:ascii="Times New Roman" w:hAnsi="Times New Roman" w:eastAsia="方正仿宋_GBK"/>
                <w:sz w:val="24"/>
                <w:highlight w:val="none"/>
              </w:rPr>
              <w:t>ZH-2-16-1</w:t>
            </w:r>
          </w:p>
        </w:tc>
        <w:tc>
          <w:tcPr>
            <w:tcW w:w="1187" w:type="dxa"/>
            <w:vAlign w:val="center"/>
          </w:tcPr>
          <w:p>
            <w:pPr>
              <w:spacing w:line="320" w:lineRule="exact"/>
              <w:jc w:val="center"/>
              <w:rPr>
                <w:rFonts w:ascii="Times New Roman" w:hAnsi="Times New Roman" w:eastAsia="方正仿宋_GBK" w:cs="Times New Roman"/>
                <w:sz w:val="24"/>
                <w:highlight w:val="none"/>
                <w:u w:val="single"/>
              </w:rPr>
            </w:pPr>
            <w:r>
              <w:rPr>
                <w:rFonts w:hint="eastAsia" w:ascii="Times New Roman" w:hAnsi="Times New Roman" w:eastAsia="方正仿宋_GBK"/>
                <w:szCs w:val="21"/>
                <w:highlight w:val="none"/>
              </w:rPr>
              <w:t>中和镇中和村7、9、10、13组</w:t>
            </w:r>
          </w:p>
        </w:tc>
        <w:tc>
          <w:tcPr>
            <w:tcW w:w="1134" w:type="dxa"/>
            <w:vAlign w:val="center"/>
          </w:tcPr>
          <w:p>
            <w:pPr>
              <w:spacing w:line="320" w:lineRule="exact"/>
              <w:jc w:val="center"/>
              <w:rPr>
                <w:rFonts w:ascii="Times New Roman" w:hAnsi="Times New Roman" w:eastAsia="方正仿宋_GBK" w:cs="Times New Roman"/>
                <w:spacing w:val="-16"/>
                <w:sz w:val="24"/>
                <w:highlight w:val="none"/>
              </w:rPr>
            </w:pPr>
            <w:r>
              <w:rPr>
                <w:rFonts w:hint="eastAsia" w:ascii="Times New Roman" w:hAnsi="Times New Roman" w:eastAsia="方正仿宋_GBK"/>
                <w:spacing w:val="-16"/>
                <w:sz w:val="24"/>
                <w:highlight w:val="none"/>
              </w:rPr>
              <w:t>86705.72</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rPr>
              <w:t>二类工业用地</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1700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850</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 xml:space="preserve"> 日16 时</w:t>
      </w:r>
      <w:r>
        <w:rPr>
          <w:rFonts w:ascii="Times New Roman" w:hAnsi="Times New Roman" w:eastAsia="方正仿宋_GBK" w:cs="Times New Roman"/>
          <w:sz w:val="32"/>
          <w:szCs w:val="32"/>
          <w:highlight w:val="none"/>
        </w:rPr>
        <w:t>止（以竞买保证金到账时间为准），具体的银行账户详见挂牌出让文件。</w:t>
      </w:r>
    </w:p>
    <w:p>
      <w:pPr>
        <w:pStyle w:val="12"/>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7</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13</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8</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9</w:t>
      </w:r>
      <w:r>
        <w:rPr>
          <w:rFonts w:hint="eastAsia" w:ascii="Times New Roman" w:hAnsi="Times New Roman" w:eastAsia="方正仿宋_GBK" w:cs="Times New Roman"/>
          <w:bCs/>
          <w:sz w:val="32"/>
          <w:szCs w:val="32"/>
          <w:highlight w:val="none"/>
          <w:u w:val="single"/>
        </w:rPr>
        <w:t xml:space="preserve"> </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2"/>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 xml:space="preserve">2 </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2"/>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（二）交易各方主体参与人员须佩戴口罩进入资阳市公共资源交易服务中心，并配合现场工作人员测量体温、消毒等工作，14天内有可疑患者接触史、有咳嗽发热等症状的人员不得进入交易现场。</w:t>
      </w:r>
    </w:p>
    <w:p>
      <w:pPr>
        <w:pStyle w:val="12"/>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任</w:t>
      </w:r>
      <w:r>
        <w:rPr>
          <w:rFonts w:hint="eastAsia" w:ascii="Times New Roman" w:hAnsi="Times New Roman" w:eastAsia="方正仿宋_GBK" w:cs="Times New Roman"/>
          <w:color w:val="000000" w:themeColor="text1"/>
          <w:sz w:val="32"/>
          <w:szCs w:val="32"/>
          <w:highlight w:val="none"/>
        </w:rPr>
        <w:t>女士；联系电话：028-26613787，</w:t>
      </w:r>
      <w:r>
        <w:rPr>
          <w:rFonts w:hint="eastAsia" w:ascii="Times New Roman" w:hAnsi="Times New Roman" w:eastAsia="方正仿宋_GBK" w:cs="Times New Roman"/>
          <w:color w:val="000000" w:themeColor="text1"/>
          <w:sz w:val="32"/>
          <w:szCs w:val="32"/>
          <w:highlight w:val="none"/>
          <w:lang w:val="en-US" w:eastAsia="zh-CN"/>
        </w:rPr>
        <w:t>13795733515</w:t>
      </w:r>
      <w:r>
        <w:rPr>
          <w:rFonts w:hint="eastAsia" w:ascii="Times New Roman" w:hAnsi="Times New Roman" w:eastAsia="方正仿宋_GBK" w:cs="Times New Roman"/>
          <w:color w:val="000000" w:themeColor="text1"/>
          <w:sz w:val="32"/>
          <w:szCs w:val="32"/>
          <w:highlight w:val="none"/>
        </w:rPr>
        <w:t>。</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rPr>
        <w:t>汪女士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rPr>
        <w:t>13882976858</w:t>
      </w:r>
      <w:r>
        <w:rPr>
          <w:rFonts w:hint="eastAsia" w:ascii="Times New Roman" w:hAnsi="Times New Roman" w:eastAsia="方正仿宋_GBK" w:cs="Times New Roman"/>
          <w:color w:val="000000" w:themeColor="text1"/>
          <w:sz w:val="32"/>
          <w:szCs w:val="32"/>
          <w:highlight w:val="none"/>
          <w:lang w:eastAsia="zh-CN"/>
        </w:rPr>
        <w:t>。</w:t>
      </w:r>
    </w:p>
    <w:p>
      <w:pPr>
        <w:pStyle w:val="19"/>
        <w:spacing w:line="540" w:lineRule="exact"/>
        <w:ind w:firstLine="210"/>
        <w:rPr>
          <w:highlight w:val="none"/>
        </w:rPr>
      </w:pPr>
    </w:p>
    <w:p>
      <w:pPr>
        <w:pStyle w:val="19"/>
        <w:spacing w:line="540" w:lineRule="exact"/>
        <w:ind w:firstLine="21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13</w:t>
      </w:r>
      <w:r>
        <w:rPr>
          <w:rFonts w:ascii="Times New Roman" w:hAnsi="Times New Roman" w:eastAsia="方正仿宋_GBK" w:cs="Times New Roman"/>
          <w:color w:val="000000" w:themeColor="text1"/>
          <w:sz w:val="32"/>
          <w:szCs w:val="32"/>
          <w:highlight w:val="none"/>
        </w:rPr>
        <w:t>日</w:t>
      </w:r>
      <w:r>
        <w:rPr>
          <w:rFonts w:ascii="Times New Roman" w:hAnsi="Times New Roman" w:eastAsia="微软雅黑" w:cs="Times New Roman"/>
          <w:sz w:val="44"/>
          <w:szCs w:val="44"/>
          <w:highlight w:val="none"/>
        </w:rPr>
        <w:br w:type="page"/>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rPr>
        <w:t>中和镇中和村7、9、10、13组</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color w:val="000000" w:themeColor="text1"/>
          <w:sz w:val="32"/>
          <w:szCs w:val="32"/>
          <w:highlight w:val="none"/>
          <w:lang w:val="en-US" w:eastAsia="zh-CN"/>
        </w:rPr>
        <w:t>13795733515</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三</w:t>
      </w:r>
      <w:r>
        <w:rPr>
          <w:rFonts w:hint="eastAsia" w:ascii="Times New Roman" w:hAnsi="Times New Roman" w:eastAsia="方正黑体_GBK" w:cs="Times New Roman"/>
          <w:b/>
          <w:sz w:val="32"/>
          <w:szCs w:val="32"/>
          <w:highlight w:val="none"/>
        </w:rPr>
        <w:t>、ZH-2-16-1号地块基本情况及相关要求</w:t>
      </w:r>
    </w:p>
    <w:p>
      <w:pPr>
        <w:widowControl/>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（一）出让地块规划设计指标等基本情况</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 宗地位置：</w:t>
      </w:r>
      <w:r>
        <w:rPr>
          <w:rFonts w:hint="eastAsia" w:ascii="Times New Roman" w:hAnsi="Times New Roman" w:eastAsia="方正仿宋_GBK" w:cs="Times New Roman"/>
          <w:bCs/>
          <w:sz w:val="32"/>
          <w:szCs w:val="32"/>
          <w:highlight w:val="none"/>
          <w:u w:val="single"/>
          <w:lang w:val="en-US" w:eastAsia="zh-CN"/>
        </w:rPr>
        <w:t>中和镇中和村7、9、10、13组。</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2. 宗地编号：</w:t>
      </w:r>
      <w:r>
        <w:rPr>
          <w:rFonts w:hint="eastAsia" w:ascii="Times New Roman" w:hAnsi="Times New Roman" w:eastAsia="方正仿宋_GBK" w:cs="Times New Roman"/>
          <w:bCs/>
          <w:sz w:val="32"/>
          <w:szCs w:val="32"/>
          <w:highlight w:val="none"/>
          <w:u w:val="single"/>
          <w:lang w:val="en-US" w:eastAsia="zh-CN"/>
        </w:rPr>
        <w:t>ZH-2-16-1。</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3. 宗地代码：</w:t>
      </w:r>
      <w:r>
        <w:rPr>
          <w:rFonts w:hint="eastAsia" w:ascii="Times New Roman" w:hAnsi="Times New Roman" w:eastAsia="方正仿宋_GBK" w:cs="Times New Roman"/>
          <w:bCs/>
          <w:sz w:val="32"/>
          <w:szCs w:val="32"/>
          <w:highlight w:val="none"/>
          <w:u w:val="single"/>
          <w:lang w:val="en-US" w:eastAsia="zh-CN"/>
        </w:rPr>
        <w:t>512002 014014 GB00131。</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4. 出让面积（净用地面积）：</w:t>
      </w:r>
      <w:r>
        <w:rPr>
          <w:rFonts w:hint="eastAsia" w:ascii="Times New Roman" w:hAnsi="Times New Roman" w:eastAsia="方正仿宋_GBK" w:cs="Times New Roman"/>
          <w:bCs/>
          <w:sz w:val="32"/>
          <w:szCs w:val="32"/>
          <w:highlight w:val="none"/>
          <w:u w:val="single"/>
          <w:lang w:val="en-US" w:eastAsia="zh-CN"/>
        </w:rPr>
        <w:t>86705.72平方米。</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5. 出让宗地平面界址及空间使用范围：</w:t>
      </w:r>
      <w:r>
        <w:rPr>
          <w:rFonts w:hint="eastAsia" w:ascii="Times New Roman" w:hAnsi="Times New Roman" w:eastAsia="方正仿宋_GBK" w:cs="Times New Roman"/>
          <w:bCs/>
          <w:sz w:val="32"/>
          <w:szCs w:val="32"/>
          <w:highlight w:val="none"/>
          <w:u w:val="single"/>
          <w:lang w:val="en-US" w:eastAsia="zh-CN"/>
        </w:rPr>
        <w:t>该宗地的空间使用范围为地表建设用地使用权（以下简称“该地块”），宗地平面界址详见资阳市雁江区自然资源和规划局出具的中和镇  ZH-2-16-1规划用地红线图及四川省地质测绘院的勘测定界图，宗地竖向界限应结合宗地周边路网高程在审查建筑方案时另行确定。</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6. 土地用途：</w:t>
      </w:r>
      <w:r>
        <w:rPr>
          <w:rFonts w:hint="eastAsia" w:ascii="Times New Roman" w:hAnsi="Times New Roman" w:eastAsia="方正仿宋_GBK" w:cs="Times New Roman"/>
          <w:bCs/>
          <w:sz w:val="32"/>
          <w:szCs w:val="32"/>
          <w:highlight w:val="none"/>
          <w:u w:val="single"/>
          <w:lang w:val="en-US" w:eastAsia="zh-CN"/>
        </w:rPr>
        <w:t>二类工业用地。</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7. 规划容积率：</w:t>
      </w:r>
      <w:r>
        <w:rPr>
          <w:rFonts w:hint="eastAsia" w:ascii="Times New Roman" w:hAnsi="Times New Roman" w:eastAsia="方正仿宋_GBK" w:cs="Times New Roman"/>
          <w:bCs/>
          <w:sz w:val="32"/>
          <w:szCs w:val="32"/>
          <w:highlight w:val="none"/>
          <w:u w:val="single"/>
          <w:lang w:val="en-US" w:eastAsia="zh-CN"/>
        </w:rPr>
        <w:t>≥1.0（按净用地面积计算）；</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8. 规划建筑密度：</w:t>
      </w:r>
      <w:r>
        <w:rPr>
          <w:rFonts w:hint="eastAsia" w:ascii="Times New Roman" w:hAnsi="Times New Roman" w:eastAsia="方正仿宋_GBK" w:cs="Times New Roman"/>
          <w:bCs/>
          <w:sz w:val="32"/>
          <w:szCs w:val="32"/>
          <w:highlight w:val="none"/>
          <w:u w:val="single"/>
          <w:lang w:val="en-US" w:eastAsia="zh-CN"/>
        </w:rPr>
        <w:t>≥30%；</w:t>
      </w:r>
      <w:r>
        <w:rPr>
          <w:rFonts w:hint="eastAsia" w:ascii="Times New Roman" w:hAnsi="Times New Roman" w:eastAsia="方正仿宋_GBK" w:cs="Times New Roman"/>
          <w:bCs/>
          <w:sz w:val="32"/>
          <w:szCs w:val="32"/>
          <w:highlight w:val="none"/>
          <w:lang w:val="en-US" w:eastAsia="zh-CN"/>
        </w:rPr>
        <w:t>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9. 绿地率：</w:t>
      </w:r>
      <w:r>
        <w:rPr>
          <w:rFonts w:hint="eastAsia" w:ascii="Times New Roman" w:hAnsi="Times New Roman" w:eastAsia="方正仿宋_GBK" w:cs="Times New Roman"/>
          <w:bCs/>
          <w:sz w:val="32"/>
          <w:szCs w:val="32"/>
          <w:highlight w:val="none"/>
          <w:u w:val="single"/>
          <w:lang w:val="en-US" w:eastAsia="zh-CN"/>
        </w:rPr>
        <w:t>≤20%（按净用地面积计算）；</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10. 建筑高度：</w:t>
      </w:r>
      <w:r>
        <w:rPr>
          <w:rFonts w:hint="eastAsia" w:ascii="Times New Roman" w:hAnsi="Times New Roman" w:eastAsia="方正仿宋_GBK" w:cs="Times New Roman"/>
          <w:bCs/>
          <w:sz w:val="32"/>
          <w:szCs w:val="32"/>
          <w:highlight w:val="none"/>
          <w:u w:val="single"/>
          <w:lang w:val="en-US" w:eastAsia="zh-CN"/>
        </w:rPr>
        <w:t>≤20米；</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11. 土地开发程度：</w:t>
      </w:r>
      <w:r>
        <w:rPr>
          <w:rFonts w:hint="eastAsia" w:ascii="Times New Roman" w:hAnsi="Times New Roman" w:eastAsia="方正仿宋_GBK" w:cs="Times New Roman"/>
          <w:bCs/>
          <w:sz w:val="32"/>
          <w:szCs w:val="32"/>
          <w:highlight w:val="none"/>
          <w:u w:val="single"/>
          <w:lang w:val="en-US" w:eastAsia="zh-CN"/>
        </w:rPr>
        <w:t>以现状地形地貌及周边配套为准；</w:t>
      </w:r>
      <w:r>
        <w:rPr>
          <w:rFonts w:hint="eastAsia" w:ascii="Times New Roman" w:hAnsi="Times New Roman" w:eastAsia="方正仿宋_GBK" w:cs="Times New Roman"/>
          <w:bCs/>
          <w:sz w:val="32"/>
          <w:szCs w:val="32"/>
          <w:highlight w:val="none"/>
          <w:lang w:val="en-US" w:eastAsia="zh-CN"/>
        </w:rPr>
        <w:t>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12. 土地使用权出让年期：</w:t>
      </w:r>
      <w:r>
        <w:rPr>
          <w:rFonts w:hint="eastAsia" w:ascii="Times New Roman" w:hAnsi="Times New Roman" w:eastAsia="方正仿宋_GBK" w:cs="Times New Roman"/>
          <w:bCs/>
          <w:sz w:val="32"/>
          <w:szCs w:val="32"/>
          <w:highlight w:val="none"/>
          <w:u w:val="single"/>
          <w:lang w:val="en-US" w:eastAsia="zh-CN"/>
        </w:rPr>
        <w:t>工业用地50年。</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（二）出让人</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该地块出让人为资阳市自然资源和规划局。</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（三）出让方式</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该地块采用</w:t>
      </w:r>
      <w:r>
        <w:rPr>
          <w:rFonts w:hint="eastAsia" w:ascii="Times New Roman" w:hAnsi="Times New Roman" w:eastAsia="方正仿宋_GBK" w:cs="Times New Roman"/>
          <w:bCs/>
          <w:sz w:val="32"/>
          <w:szCs w:val="32"/>
          <w:highlight w:val="none"/>
          <w:u w:val="single"/>
          <w:lang w:val="en-US" w:eastAsia="zh-CN"/>
        </w:rPr>
        <w:t>无底价挂牌</w:t>
      </w:r>
      <w:r>
        <w:rPr>
          <w:rFonts w:hint="eastAsia" w:ascii="Times New Roman" w:hAnsi="Times New Roman" w:eastAsia="方正仿宋_GBK" w:cs="Times New Roman"/>
          <w:bCs/>
          <w:sz w:val="32"/>
          <w:szCs w:val="32"/>
          <w:highlight w:val="none"/>
          <w:lang w:val="en-US" w:eastAsia="zh-CN"/>
        </w:rPr>
        <w:t>出让，按照价高者得的原则确定竞得人。</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（四）出让起始价及增价幅度</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本宗地为无底价挂牌出让，挂牌起始价</w:t>
      </w:r>
      <w:r>
        <w:rPr>
          <w:rFonts w:hint="eastAsia" w:ascii="Times New Roman" w:hAnsi="Times New Roman" w:eastAsia="方正仿宋_GBK" w:cs="Times New Roman"/>
          <w:b/>
          <w:bCs w:val="0"/>
          <w:sz w:val="32"/>
          <w:szCs w:val="32"/>
          <w:highlight w:val="none"/>
          <w:u w:val="single"/>
          <w:lang w:val="en-US" w:eastAsia="zh-CN"/>
        </w:rPr>
        <w:t>1700万元</w:t>
      </w:r>
      <w:r>
        <w:rPr>
          <w:rFonts w:hint="eastAsia" w:ascii="Times New Roman" w:hAnsi="Times New Roman" w:eastAsia="方正仿宋_GBK" w:cs="Times New Roman"/>
          <w:bCs/>
          <w:sz w:val="32"/>
          <w:szCs w:val="32"/>
          <w:highlight w:val="none"/>
          <w:lang w:val="en-US" w:eastAsia="zh-CN"/>
        </w:rPr>
        <w:t>（不含房屋拆迁安置、管线搬迁及场平等费用）。</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 xml:space="preserve">增价幅度： </w:t>
      </w:r>
      <w:r>
        <w:rPr>
          <w:rFonts w:hint="eastAsia" w:ascii="Times New Roman" w:hAnsi="Times New Roman" w:eastAsia="方正仿宋_GBK" w:cs="Times New Roman"/>
          <w:b/>
          <w:bCs w:val="0"/>
          <w:sz w:val="32"/>
          <w:szCs w:val="32"/>
          <w:highlight w:val="none"/>
          <w:u w:val="single"/>
          <w:lang w:val="en-US" w:eastAsia="zh-CN"/>
        </w:rPr>
        <w:t>10万元</w:t>
      </w:r>
      <w:r>
        <w:rPr>
          <w:rFonts w:hint="eastAsia" w:ascii="Times New Roman" w:hAnsi="Times New Roman" w:eastAsia="方正仿宋_GBK" w:cs="Times New Roman"/>
          <w:bCs/>
          <w:sz w:val="32"/>
          <w:szCs w:val="32"/>
          <w:highlight w:val="none"/>
          <w:lang w:val="en-US" w:eastAsia="zh-CN"/>
        </w:rPr>
        <w:t>/次或该增价幅度的整数倍。</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（五）竞买保证金</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该地块竞买保证金为</w:t>
      </w:r>
      <w:r>
        <w:rPr>
          <w:rFonts w:hint="eastAsia" w:ascii="Times New Roman" w:hAnsi="Times New Roman" w:eastAsia="方正仿宋_GBK" w:cs="Times New Roman"/>
          <w:b/>
          <w:bCs w:val="0"/>
          <w:sz w:val="32"/>
          <w:szCs w:val="32"/>
          <w:highlight w:val="none"/>
          <w:u w:val="single"/>
          <w:lang w:val="en-US" w:eastAsia="zh-CN"/>
        </w:rPr>
        <w:t>850万元</w:t>
      </w:r>
      <w:r>
        <w:rPr>
          <w:rFonts w:hint="eastAsia" w:ascii="Times New Roman" w:hAnsi="Times New Roman" w:eastAsia="方正仿宋_GBK" w:cs="Times New Roman"/>
          <w:bCs/>
          <w:sz w:val="32"/>
          <w:szCs w:val="32"/>
          <w:highlight w:val="none"/>
          <w:lang w:val="en-US" w:eastAsia="zh-CN"/>
        </w:rPr>
        <w:t>（人民币）。</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（六）土地价款解缴渠道</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该地块出让价款缴入雁江区税务局。</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（七）出让合同签订时间及违约责任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须在成交后10个工作日内与资阳市自然资源和规划局签订《国有建设用地使用权出让合同》（以下简称《出让合同》）。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widowControl/>
        <w:numPr>
          <w:ilvl w:val="0"/>
          <w:numId w:val="0"/>
        </w:numPr>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（八）缴款方式及违约责任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竞得人自签订《出让合同》之日起30日内至少缴纳成交总价的50%，余款按分期支付方式自签订《出让合同》之日起1年内缴清</w:t>
      </w:r>
      <w:r>
        <w:rPr>
          <w:rFonts w:hint="eastAsia" w:ascii="Times New Roman" w:hAnsi="Times New Roman" w:eastAsia="方正仿宋_GBK" w:cs="Times New Roman"/>
          <w:b/>
          <w:bCs w:val="0"/>
          <w:sz w:val="32"/>
          <w:szCs w:val="32"/>
          <w:highlight w:val="none"/>
          <w:lang w:val="en-US" w:eastAsia="zh-CN"/>
        </w:rPr>
        <w:t>（如缴款截止日逢双休日或法定节假日，可顺延缴款日期至双休日或法定节假日结束后的第一个工作日）</w:t>
      </w:r>
      <w:r>
        <w:rPr>
          <w:rFonts w:hint="eastAsia" w:ascii="Times New Roman" w:hAnsi="Times New Roman" w:eastAsia="方正仿宋_GBK" w:cs="Times New Roman"/>
          <w:bCs/>
          <w:sz w:val="32"/>
          <w:szCs w:val="32"/>
          <w:highlight w:val="none"/>
          <w:lang w:val="en-US" w:eastAsia="zh-CN"/>
        </w:rPr>
        <w:t>。</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val="0"/>
          <w:sz w:val="32"/>
          <w:szCs w:val="32"/>
          <w:highlight w:val="none"/>
          <w:lang w:val="en-US" w:eastAsia="zh-CN"/>
        </w:rPr>
        <w:t>（含延迟缴纳土地价款违约金及分期付款利息）</w:t>
      </w:r>
      <w:r>
        <w:rPr>
          <w:rFonts w:hint="eastAsia" w:ascii="Times New Roman" w:hAnsi="Times New Roman" w:eastAsia="方正仿宋_GBK" w:cs="Times New Roman"/>
          <w:bCs/>
          <w:sz w:val="32"/>
          <w:szCs w:val="32"/>
          <w:highlight w:val="none"/>
          <w:lang w:val="en-US" w:eastAsia="zh-CN"/>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（九）土地交付及相关约定</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numPr>
          <w:ilvl w:val="0"/>
          <w:numId w:val="2"/>
        </w:numPr>
        <w:spacing w:line="600" w:lineRule="exact"/>
        <w:ind w:firstLine="643" w:firstLineChars="200"/>
        <w:rPr>
          <w:rFonts w:hint="eastAsia" w:ascii="Times New Roman" w:hAnsi="Times New Roman" w:eastAsia="方正仿宋_GBK" w:cs="Times New Roman"/>
          <w:b/>
          <w:bCs w:val="0"/>
          <w:sz w:val="32"/>
          <w:szCs w:val="32"/>
          <w:highlight w:val="none"/>
          <w:lang w:val="en-US" w:eastAsia="zh-CN"/>
        </w:rPr>
      </w:pPr>
      <w:r>
        <w:rPr>
          <w:rFonts w:hint="eastAsia" w:ascii="Times New Roman" w:hAnsi="Times New Roman" w:eastAsia="方正仿宋_GBK" w:cs="Times New Roman"/>
          <w:b/>
          <w:bCs w:val="0"/>
          <w:sz w:val="32"/>
          <w:szCs w:val="32"/>
          <w:highlight w:val="none"/>
          <w:lang w:val="en-US" w:eastAsia="zh-CN"/>
        </w:rPr>
        <w:t>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widowControl/>
        <w:numPr>
          <w:ilvl w:val="0"/>
          <w:numId w:val="2"/>
        </w:numPr>
        <w:spacing w:line="600" w:lineRule="exact"/>
        <w:ind w:left="0" w:leftChars="0" w:firstLine="643"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
          <w:bCs w:val="0"/>
          <w:sz w:val="32"/>
          <w:szCs w:val="32"/>
          <w:highlight w:val="none"/>
          <w:lang w:val="en-US" w:eastAsia="zh-CN"/>
        </w:rPr>
        <w:t>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（十）出让土地使用权起始日期</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该地块的土地使用权起始日期原则上以《出让合同》约定的交付土地之日起算。因政府及其有关部门的原因延迟交付土地的，土地使用年期自实际交付土地之日起算。</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（十一）开工、竣工时间及违约责任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竞得人应按《出让合同》约定在土地交付之日起1年内开工建设，自约定开工之日起3年内竣工。</w:t>
      </w:r>
    </w:p>
    <w:p>
      <w:pPr>
        <w:widowControl/>
        <w:numPr>
          <w:ilvl w:val="0"/>
          <w:numId w:val="3"/>
        </w:numPr>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numPr>
          <w:ilvl w:val="0"/>
          <w:numId w:val="3"/>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（十二）其他约定事项</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 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2. 该地块地下状况（包括但不限于地下管线、埋藏物、</w:t>
      </w:r>
    </w:p>
    <w:p>
      <w:pPr>
        <w:widowControl/>
        <w:spacing w:line="600" w:lineRule="exact"/>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地下文物等）不详，竞得人需在设计时按国家现行相关规范要求予以保护或搬迁，并自行承担开发建设过程中因宗地地下状况而额外增加的成本及费用。该地块场地平整及费用由竞得人自行负责。</w:t>
      </w:r>
    </w:p>
    <w:p>
      <w:pPr>
        <w:widowControl/>
        <w:numPr>
          <w:ilvl w:val="0"/>
          <w:numId w:val="4"/>
        </w:numPr>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该地块建设用地规划要求须严格按照《资阳市雁江区自然资源和规划局关于雁江区中和镇〔ZH-2-16-1〕号地块规划条件的函》（资雁资源函〔2022〕88号）执行。</w:t>
      </w:r>
    </w:p>
    <w:p>
      <w:pPr>
        <w:widowControl/>
        <w:numPr>
          <w:ilvl w:val="0"/>
          <w:numId w:val="4"/>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该地块挂牌成交后，竞得人在开发建设时若对地块范围外的土壤或山体造成破坏的，须负责对破坏的土壤或山体进行治理和恢复。</w:t>
      </w:r>
    </w:p>
    <w:p>
      <w:pPr>
        <w:widowControl/>
        <w:numPr>
          <w:ilvl w:val="0"/>
          <w:numId w:val="4"/>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该地块如涉及地下空间建设用地使用权，在确立地下空间使用权时，需按相关政策规定缴纳地下空间使用权价款。</w:t>
      </w:r>
    </w:p>
    <w:p>
      <w:pPr>
        <w:widowControl/>
        <w:numPr>
          <w:ilvl w:val="0"/>
          <w:numId w:val="4"/>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挂牌成交后，竞得人须自行出资开展成交地块地质灾害危险性评估工作，自行到发改、环保、水利、住建等部门办理立项（备案）、环评、水保、建设等相关具体手续。</w:t>
      </w:r>
    </w:p>
    <w:p>
      <w:pPr>
        <w:widowControl/>
        <w:numPr>
          <w:ilvl w:val="0"/>
          <w:numId w:val="4"/>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挂牌成交后，竞得人交纳的竞买保证金按总成交价款的20%（取整）转作该地块的定金，余下竞买保证金自动转作受让地块首期成交价款。挂牌人按相关规定汇入各级税务部门指定国库抵作首期土地出让价款。</w:t>
      </w:r>
    </w:p>
    <w:p>
      <w:pPr>
        <w:widowControl/>
        <w:numPr>
          <w:ilvl w:val="0"/>
          <w:numId w:val="4"/>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该地块涉及的土地出让契税等相关税费，由竞得人按相关规定另行交纳。</w:t>
      </w:r>
    </w:p>
    <w:p>
      <w:pPr>
        <w:widowControl/>
        <w:spacing w:line="60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850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9</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6．挂牌出让报价单（样本）；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7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9．国有建设用地使用权出让合同（示范文本）部分条款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 xml:space="preserve">10.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11.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12.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13.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13</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9</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9 </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8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11</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rPr>
        <w:t>竞得人交纳的竞买保证金按总成交价款的20%（取整）</w:t>
      </w:r>
      <w:r>
        <w:rPr>
          <w:rFonts w:hint="eastAsia" w:ascii="Times New Roman" w:hAnsi="Times New Roman" w:eastAsia="方正仿宋_GBK" w:cs="Times New Roman"/>
          <w:sz w:val="32"/>
          <w:szCs w:val="32"/>
          <w:highlight w:val="none"/>
          <w:lang w:eastAsia="zh-CN"/>
        </w:rPr>
        <w:t>自动</w:t>
      </w:r>
      <w:r>
        <w:rPr>
          <w:rFonts w:hint="eastAsia" w:ascii="Times New Roman" w:hAnsi="Times New Roman" w:eastAsia="方正仿宋_GBK" w:cs="Times New Roman"/>
          <w:sz w:val="32"/>
          <w:szCs w:val="32"/>
          <w:highlight w:val="none"/>
        </w:rPr>
        <w:t>转作该地块的定金，余下</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7"/>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负责解释。未尽事宜依照《招标拍卖挂牌出让国有建设用地使用权规定》（原国土资源部令第39号）办理。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13</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19"/>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19"/>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19"/>
        <w:ind w:left="0" w:leftChars="0" w:firstLine="0" w:firstLineChars="0"/>
        <w:rPr>
          <w:rFonts w:hint="eastAsia"/>
          <w:highlight w:val="none"/>
        </w:rPr>
      </w:pPr>
      <w:r>
        <w:rPr>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612130" cy="7936865"/>
            <wp:effectExtent l="0" t="0" r="3810" b="12065"/>
            <wp:wrapSquare wrapText="bothSides"/>
            <wp:docPr id="1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2"/>
                    <pic:cNvPicPr>
                      <a:picLocks noChangeAspect="1"/>
                    </pic:cNvPicPr>
                  </pic:nvPicPr>
                  <pic:blipFill>
                    <a:blip r:embed="rId9"/>
                    <a:stretch>
                      <a:fillRect/>
                    </a:stretch>
                  </pic:blipFill>
                  <pic:spPr>
                    <a:xfrm>
                      <a:off x="0" y="0"/>
                      <a:ext cx="5612130" cy="7936865"/>
                    </a:xfrm>
                    <a:prstGeom prst="rect">
                      <a:avLst/>
                    </a:prstGeom>
                    <a:noFill/>
                    <a:ln>
                      <a:noFill/>
                    </a:ln>
                  </pic:spPr>
                </pic:pic>
              </a:graphicData>
            </a:graphic>
          </wp:anchor>
        </w:drawing>
      </w:r>
    </w:p>
    <w:p>
      <w:pPr>
        <w:pStyle w:val="19"/>
        <w:ind w:left="0" w:leftChars="0" w:firstLine="0" w:firstLineChars="0"/>
        <w:rPr>
          <w:rFonts w:hint="eastAsia"/>
          <w:highlight w:val="none"/>
        </w:rPr>
      </w:pPr>
      <w:r>
        <w:rPr>
          <w:highlight w:val="none"/>
        </w:rPr>
        <w:drawing>
          <wp:anchor distT="0" distB="0" distL="114300" distR="114300" simplePos="0" relativeHeight="251671552" behindDoc="0" locked="0" layoutInCell="1" allowOverlap="1">
            <wp:simplePos x="0" y="0"/>
            <wp:positionH relativeFrom="column">
              <wp:posOffset>-201295</wp:posOffset>
            </wp:positionH>
            <wp:positionV relativeFrom="paragraph">
              <wp:posOffset>118110</wp:posOffset>
            </wp:positionV>
            <wp:extent cx="5608320" cy="7934960"/>
            <wp:effectExtent l="0" t="0" r="7620" b="0"/>
            <wp:wrapSquare wrapText="bothSides"/>
            <wp:docPr id="1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3"/>
                    <pic:cNvPicPr>
                      <a:picLocks noChangeAspect="1"/>
                    </pic:cNvPicPr>
                  </pic:nvPicPr>
                  <pic:blipFill>
                    <a:blip r:embed="rId10"/>
                    <a:stretch>
                      <a:fillRect/>
                    </a:stretch>
                  </pic:blipFill>
                  <pic:spPr>
                    <a:xfrm>
                      <a:off x="0" y="0"/>
                      <a:ext cx="5608320" cy="7934960"/>
                    </a:xfrm>
                    <a:prstGeom prst="rect">
                      <a:avLst/>
                    </a:prstGeom>
                    <a:noFill/>
                    <a:ln>
                      <a:noFill/>
                    </a:ln>
                  </pic:spPr>
                </pic:pic>
              </a:graphicData>
            </a:graphic>
          </wp:anchor>
        </w:drawing>
      </w:r>
    </w:p>
    <w:p>
      <w:pPr>
        <w:pStyle w:val="19"/>
        <w:ind w:left="0" w:leftChars="0" w:firstLine="0" w:firstLineChars="0"/>
        <w:rPr>
          <w:rFonts w:hint="eastAsia"/>
          <w:highlight w:val="none"/>
        </w:rPr>
      </w:pPr>
      <w:r>
        <w:rPr>
          <w:highlight w:val="none"/>
        </w:rPr>
        <w:drawing>
          <wp:anchor distT="0" distB="0" distL="114300" distR="114300" simplePos="0" relativeHeight="251672576" behindDoc="0" locked="0" layoutInCell="1" allowOverlap="1">
            <wp:simplePos x="0" y="0"/>
            <wp:positionH relativeFrom="column">
              <wp:posOffset>66040</wp:posOffset>
            </wp:positionH>
            <wp:positionV relativeFrom="paragraph">
              <wp:posOffset>-151130</wp:posOffset>
            </wp:positionV>
            <wp:extent cx="5277485" cy="7466965"/>
            <wp:effectExtent l="0" t="0" r="3175" b="6985"/>
            <wp:wrapSquare wrapText="bothSides"/>
            <wp:docPr id="1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4"/>
                    <pic:cNvPicPr>
                      <a:picLocks noChangeAspect="1"/>
                    </pic:cNvPicPr>
                  </pic:nvPicPr>
                  <pic:blipFill>
                    <a:blip r:embed="rId11"/>
                    <a:stretch>
                      <a:fillRect/>
                    </a:stretch>
                  </pic:blipFill>
                  <pic:spPr>
                    <a:xfrm>
                      <a:off x="0" y="0"/>
                      <a:ext cx="5277485" cy="7466965"/>
                    </a:xfrm>
                    <a:prstGeom prst="rect">
                      <a:avLst/>
                    </a:prstGeom>
                    <a:noFill/>
                    <a:ln>
                      <a:noFill/>
                    </a:ln>
                  </pic:spPr>
                </pic:pic>
              </a:graphicData>
            </a:graphic>
          </wp:anchor>
        </w:drawing>
      </w:r>
    </w:p>
    <w:p>
      <w:pPr>
        <w:pStyle w:val="19"/>
        <w:ind w:left="0" w:leftChars="0" w:firstLine="0" w:firstLineChars="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3600" behindDoc="0" locked="0" layoutInCell="1" allowOverlap="1">
            <wp:simplePos x="0" y="0"/>
            <wp:positionH relativeFrom="column">
              <wp:posOffset>227965</wp:posOffset>
            </wp:positionH>
            <wp:positionV relativeFrom="paragraph">
              <wp:posOffset>-179705</wp:posOffset>
            </wp:positionV>
            <wp:extent cx="5277485" cy="7466965"/>
            <wp:effectExtent l="0" t="0" r="3175" b="6985"/>
            <wp:wrapSquare wrapText="bothSides"/>
            <wp:docPr id="1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5"/>
                    <pic:cNvPicPr>
                      <a:picLocks noChangeAspect="1"/>
                    </pic:cNvPicPr>
                  </pic:nvPicPr>
                  <pic:blipFill>
                    <a:blip r:embed="rId12"/>
                    <a:stretch>
                      <a:fillRect/>
                    </a:stretch>
                  </pic:blipFill>
                  <pic:spPr>
                    <a:xfrm>
                      <a:off x="0" y="0"/>
                      <a:ext cx="5277485" cy="7466965"/>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4624" behindDoc="0" locked="0" layoutInCell="1" allowOverlap="1">
            <wp:simplePos x="0" y="0"/>
            <wp:positionH relativeFrom="column">
              <wp:posOffset>-57150</wp:posOffset>
            </wp:positionH>
            <wp:positionV relativeFrom="paragraph">
              <wp:posOffset>38735</wp:posOffset>
            </wp:positionV>
            <wp:extent cx="5608320" cy="7458710"/>
            <wp:effectExtent l="0" t="0" r="7620" b="1270"/>
            <wp:wrapSquare wrapText="bothSides"/>
            <wp:docPr id="1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6"/>
                    <pic:cNvPicPr>
                      <a:picLocks noChangeAspect="1"/>
                    </pic:cNvPicPr>
                  </pic:nvPicPr>
                  <pic:blipFill>
                    <a:blip r:embed="rId13"/>
                    <a:stretch>
                      <a:fillRect/>
                    </a:stretch>
                  </pic:blipFill>
                  <pic:spPr>
                    <a:xfrm>
                      <a:off x="0" y="0"/>
                      <a:ext cx="5608320" cy="7458710"/>
                    </a:xfrm>
                    <a:prstGeom prst="rect">
                      <a:avLst/>
                    </a:prstGeom>
                    <a:noFill/>
                    <a:ln>
                      <a:noFill/>
                    </a:ln>
                  </pic:spPr>
                </pic:pic>
              </a:graphicData>
            </a:graphic>
          </wp:anchor>
        </w:drawing>
      </w:r>
    </w:p>
    <w:p>
      <w:pPr>
        <w:pStyle w:val="19"/>
        <w:ind w:firstLine="210"/>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5648" behindDoc="0" locked="0" layoutInCell="1" allowOverlap="1">
            <wp:simplePos x="0" y="0"/>
            <wp:positionH relativeFrom="column">
              <wp:posOffset>95250</wp:posOffset>
            </wp:positionH>
            <wp:positionV relativeFrom="paragraph">
              <wp:posOffset>139065</wp:posOffset>
            </wp:positionV>
            <wp:extent cx="5608320" cy="7906385"/>
            <wp:effectExtent l="0" t="0" r="7620" b="635"/>
            <wp:wrapSquare wrapText="bothSides"/>
            <wp:docPr id="1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7"/>
                    <pic:cNvPicPr>
                      <a:picLocks noChangeAspect="1"/>
                    </pic:cNvPicPr>
                  </pic:nvPicPr>
                  <pic:blipFill>
                    <a:blip r:embed="rId14"/>
                    <a:stretch>
                      <a:fillRect/>
                    </a:stretch>
                  </pic:blipFill>
                  <pic:spPr>
                    <a:xfrm>
                      <a:off x="0" y="0"/>
                      <a:ext cx="5608320" cy="7906385"/>
                    </a:xfrm>
                    <a:prstGeom prst="rect">
                      <a:avLst/>
                    </a:prstGeom>
                    <a:noFill/>
                    <a:ln>
                      <a:noFill/>
                    </a:ln>
                  </pic:spPr>
                </pic:pic>
              </a:graphicData>
            </a:graphic>
          </wp:anchor>
        </w:drawing>
      </w:r>
    </w:p>
    <w:p>
      <w:pPr>
        <w:pStyle w:val="19"/>
        <w:ind w:firstLine="440"/>
        <w:jc w:val="center"/>
        <w:rPr>
          <w:rFonts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rPr>
        <w:t>ZH-2-16-1</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2</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11</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rPr>
        <w:t>ZH-2-16-1</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850</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t>扒佰伍拾</w:t>
      </w:r>
      <w:r>
        <w:rPr>
          <w:rFonts w:ascii="Times New Roman" w:hAnsi="Times New Roman" w:eastAsia="方正仿宋简体" w:cs="Times New Roman"/>
          <w:sz w:val="32"/>
          <w:szCs w:val="32"/>
          <w:highlight w:val="none"/>
        </w:rPr>
        <w:t>万元整）。</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br w:type="page"/>
      </w: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3"/>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eastAsia"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 xml:space="preserve"> </w:t>
            </w:r>
            <w:r>
              <w:rPr>
                <w:rFonts w:hint="eastAsia" w:ascii="Times New Roman" w:hAnsi="Times New Roman" w:eastAsia="方正仿宋_GBK"/>
                <w:sz w:val="36"/>
                <w:szCs w:val="36"/>
                <w:highlight w:val="none"/>
                <w:u w:val="single"/>
              </w:rPr>
              <w:t>ZH-2-16-1</w:t>
            </w:r>
            <w:r>
              <w:rPr>
                <w:rFonts w:hint="eastAsia" w:ascii="Times New Roman" w:hAnsi="Times New Roman" w:eastAsia="方正仿宋_GBK"/>
                <w:sz w:val="36"/>
                <w:szCs w:val="36"/>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p>
      <w:pPr>
        <w:spacing w:line="480" w:lineRule="exact"/>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成 交 确 认 书</w:t>
      </w:r>
    </w:p>
    <w:p>
      <w:pPr>
        <w:spacing w:line="48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11</w:t>
      </w:r>
      <w:r>
        <w:rPr>
          <w:rFonts w:ascii="Times New Roman" w:hAnsi="Times New Roman" w:eastAsia="方正仿宋简体" w:cs="Times New Roman"/>
          <w:sz w:val="32"/>
          <w:szCs w:val="32"/>
          <w:highlight w:val="none"/>
        </w:rPr>
        <w:t>日</w:t>
      </w:r>
      <w:r>
        <w:rPr>
          <w:rFonts w:ascii="Times New Roman" w:hAnsi="Times New Roman" w:eastAsia="方正仿宋_GBK" w:cs="Times New Roman"/>
          <w:sz w:val="32"/>
          <w:szCs w:val="32"/>
          <w:highlight w:val="none"/>
        </w:rPr>
        <w:t>在</w:t>
      </w:r>
      <w:r>
        <w:rPr>
          <w:rFonts w:ascii="Times New Roman" w:hAnsi="Times New Roman" w:eastAsia="方正仿宋简体"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举办的国有建设用地使用权挂牌出让活动中，</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rPr>
        <w:t>竞得编号为</w:t>
      </w:r>
      <w:r>
        <w:rPr>
          <w:rFonts w:hint="eastAsia" w:ascii="Times New Roman" w:hAnsi="Times New Roman" w:eastAsia="方正仿宋_GBK"/>
          <w:sz w:val="32"/>
          <w:szCs w:val="32"/>
          <w:highlight w:val="none"/>
          <w:u w:val="single"/>
        </w:rPr>
        <w:t>ZH-2-16-1</w:t>
      </w:r>
      <w:r>
        <w:rPr>
          <w:rFonts w:hint="eastAsia" w:ascii="Times New Roman" w:hAnsi="Times New Roman" w:eastAsia="方正仿宋_GBK"/>
          <w:sz w:val="32"/>
          <w:szCs w:val="32"/>
          <w:highlight w:val="none"/>
          <w:u w:val="single"/>
          <w:lang w:eastAsia="zh-CN"/>
        </w:rPr>
        <w:t>号</w:t>
      </w:r>
      <w:r>
        <w:rPr>
          <w:rFonts w:ascii="Times New Roman" w:hAnsi="Times New Roman" w:eastAsia="方正仿宋_GBK" w:cs="Times New Roman"/>
          <w:sz w:val="32"/>
          <w:szCs w:val="32"/>
          <w:highlight w:val="none"/>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该地块位于</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rPr>
        <w:t>中和镇中和村7、9、10、13组</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用地性质为</w:t>
      </w:r>
      <w:r>
        <w:rPr>
          <w:rFonts w:hint="eastAsia" w:ascii="Times New Roman" w:hAnsi="Times New Roman" w:eastAsia="方正仿宋_GBK"/>
          <w:sz w:val="32"/>
          <w:szCs w:val="32"/>
          <w:highlight w:val="none"/>
          <w:u w:val="single"/>
        </w:rPr>
        <w:t>二类工业用地</w:t>
      </w:r>
      <w:r>
        <w:rPr>
          <w:rFonts w:hint="eastAsia" w:ascii="Times New Roman" w:hAnsi="Times New Roman" w:eastAsia="方正仿宋_GBK"/>
          <w:sz w:val="32"/>
          <w:szCs w:val="32"/>
          <w:highlight w:val="none"/>
          <w:u w:val="none"/>
          <w:lang w:eastAsia="zh-CN"/>
        </w:rPr>
        <w:t>，</w:t>
      </w:r>
      <w:r>
        <w:rPr>
          <w:rFonts w:ascii="Times New Roman" w:hAnsi="Times New Roman" w:eastAsia="方正仿宋_GBK" w:cs="Times New Roman"/>
          <w:sz w:val="32"/>
          <w:szCs w:val="32"/>
          <w:highlight w:val="none"/>
        </w:rPr>
        <w:t>规划净用地面积为</w:t>
      </w:r>
      <w:r>
        <w:rPr>
          <w:rFonts w:hint="eastAsia" w:ascii="Times New Roman" w:hAnsi="Times New Roman" w:eastAsia="方正仿宋_GBK"/>
          <w:sz w:val="32"/>
          <w:szCs w:val="32"/>
          <w:highlight w:val="none"/>
          <w:u w:val="single"/>
        </w:rPr>
        <w:t>86705.72</w:t>
      </w:r>
      <w:r>
        <w:rPr>
          <w:rFonts w:ascii="Times New Roman" w:hAnsi="Times New Roman" w:eastAsia="方正仿宋_GBK" w:cs="Times New Roman"/>
          <w:sz w:val="32"/>
          <w:szCs w:val="32"/>
          <w:highlight w:val="none"/>
        </w:rPr>
        <w:t>平方米，挂牌起始价为</w:t>
      </w:r>
      <w:r>
        <w:rPr>
          <w:rFonts w:hint="eastAsia" w:ascii="Times New Roman" w:hAnsi="Times New Roman" w:eastAsia="方正仿宋_GBK"/>
          <w:bCs/>
          <w:sz w:val="32"/>
          <w:szCs w:val="32"/>
          <w:highlight w:val="none"/>
          <w:u w:val="single"/>
          <w:lang w:val="en-US" w:eastAsia="zh-CN"/>
        </w:rPr>
        <w:t xml:space="preserve">1700 </w:t>
      </w:r>
      <w:r>
        <w:rPr>
          <w:rFonts w:ascii="Times New Roman" w:hAnsi="Times New Roman" w:eastAsia="方正仿宋_GBK" w:cs="Times New Roman"/>
          <w:sz w:val="32"/>
          <w:szCs w:val="32"/>
          <w:highlight w:val="none"/>
        </w:rPr>
        <w:t>万元，挂牌成交价为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highlight w:val="none"/>
          <w:u w:val="single"/>
        </w:rPr>
        <w:t xml:space="preserve">    </w:t>
      </w:r>
      <w:r>
        <w:rPr>
          <w:rFonts w:ascii="Times New Roman" w:hAnsi="Times New Roman" w:eastAsia="方正仿宋_GBK" w:cs="Times New Roman"/>
          <w:sz w:val="32"/>
          <w:szCs w:val="32"/>
          <w:highlight w:val="none"/>
        </w:rPr>
        <w:t>万元，该地块内涉及的其它有关事宜按挂牌文本约定执行。</w:t>
      </w:r>
    </w:p>
    <w:p>
      <w:pPr>
        <w:pStyle w:val="6"/>
        <w:spacing w:line="480" w:lineRule="exact"/>
        <w:ind w:firstLine="640" w:firstLineChars="200"/>
        <w:jc w:val="both"/>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竞得人交纳的竞买保证金按成交总价的20%</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rPr>
        <w:t>取整</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rPr>
        <w:t>自动转作该地块的定金，余下</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竞买保证金自动转作受让地块</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首期成交价款。</w:t>
      </w:r>
      <w:r>
        <w:rPr>
          <w:rFonts w:ascii="Times New Roman" w:hAnsi="Times New Roman" w:eastAsia="方正仿宋_GBK" w:cs="Times New Roman"/>
          <w:color w:val="FF0000"/>
          <w:sz w:val="32"/>
          <w:szCs w:val="32"/>
          <w:highlight w:val="none"/>
          <w:u w:val="single"/>
        </w:rPr>
        <w:t>竞得</w:t>
      </w:r>
      <w:r>
        <w:rPr>
          <w:rFonts w:hint="eastAsia" w:ascii="Times New Roman" w:hAnsi="Times New Roman" w:eastAsia="方正仿宋_GBK" w:cs="Times New Roman"/>
          <w:color w:val="FF0000"/>
          <w:sz w:val="32"/>
          <w:szCs w:val="32"/>
          <w:highlight w:val="none"/>
          <w:u w:val="single"/>
          <w:lang w:val="en-US" w:eastAsia="zh-CN"/>
        </w:rPr>
        <w:t xml:space="preserve">   </w:t>
      </w:r>
      <w:r>
        <w:rPr>
          <w:rFonts w:ascii="Times New Roman" w:hAnsi="Times New Roman" w:eastAsia="方正仿宋_GBK" w:cs="Times New Roman"/>
          <w:color w:val="FF0000"/>
          <w:sz w:val="32"/>
          <w:szCs w:val="32"/>
          <w:highlight w:val="none"/>
          <w:u w:val="single"/>
        </w:rPr>
        <w:t>人</w:t>
      </w:r>
      <w:r>
        <w:rPr>
          <w:rFonts w:hint="eastAsia" w:ascii="Times New Roman" w:hAnsi="Times New Roman" w:eastAsia="方正仿宋_GBK" w:cs="Times New Roman"/>
          <w:color w:val="FF0000"/>
          <w:sz w:val="32"/>
          <w:szCs w:val="32"/>
          <w:highlight w:val="none"/>
          <w:u w:val="single"/>
          <w:lang w:val="en-US" w:eastAsia="zh-CN"/>
        </w:rPr>
        <w:t xml:space="preserve"> </w:t>
      </w:r>
      <w:r>
        <w:rPr>
          <w:rFonts w:hint="eastAsia" w:ascii="Times New Roman" w:hAnsi="Times New Roman" w:eastAsia="方正仿宋_GBK" w:cs="Times New Roman"/>
          <w:highlight w:val="none"/>
          <w:u w:val="single"/>
          <w:lang w:val="en-US" w:eastAsia="zh-CN"/>
        </w:rPr>
        <w:t xml:space="preserve">    </w:t>
      </w:r>
      <w:r>
        <w:rPr>
          <w:rFonts w:ascii="Times New Roman" w:hAnsi="Times New Roman" w:eastAsia="方正仿宋_GBK" w:cs="Times New Roman"/>
          <w:sz w:val="32"/>
          <w:szCs w:val="32"/>
          <w:highlight w:val="none"/>
        </w:rPr>
        <w:t>应当于</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2022</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18</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另行缴纳地产交易手续费</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hint="eastAsia" w:ascii="Times New Roman" w:hAnsi="Times New Roman" w:eastAsia="方正仿宋_GBK" w:cs="Times New Roman"/>
          <w:sz w:val="32"/>
          <w:szCs w:val="32"/>
          <w:highlight w:val="none"/>
        </w:rPr>
        <w:t>万元，于</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2022</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25</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并</w:t>
      </w:r>
      <w:r>
        <w:rPr>
          <w:rFonts w:ascii="Times New Roman" w:hAnsi="Times New Roman" w:eastAsia="方正仿宋_GBK" w:cs="Times New Roman"/>
          <w:sz w:val="32"/>
          <w:szCs w:val="32"/>
          <w:highlight w:val="none"/>
        </w:rPr>
        <w:t>持本《成交确认书》到资阳</w:t>
      </w:r>
      <w:r>
        <w:rPr>
          <w:rFonts w:hint="eastAsia" w:ascii="Times New Roman" w:hAnsi="Times New Roman" w:eastAsia="方正仿宋_GBK" w:cs="Times New Roman"/>
          <w:sz w:val="32"/>
          <w:szCs w:val="32"/>
          <w:highlight w:val="none"/>
        </w:rPr>
        <w:t>市自然资源和规划局</w:t>
      </w:r>
      <w:r>
        <w:rPr>
          <w:rFonts w:ascii="Times New Roman" w:hAnsi="Times New Roman" w:eastAsia="方正仿宋_GBK" w:cs="Times New Roman"/>
          <w:sz w:val="32"/>
          <w:szCs w:val="32"/>
          <w:highlight w:val="none"/>
        </w:rPr>
        <w:t>签订《国有建设用地使用权出让合同》。不按期</w:t>
      </w:r>
      <w:r>
        <w:rPr>
          <w:rFonts w:hint="eastAsia" w:ascii="Times New Roman" w:hAnsi="Times New Roman" w:eastAsia="方正仿宋_GBK" w:cs="Times New Roman"/>
          <w:sz w:val="32"/>
          <w:szCs w:val="32"/>
          <w:highlight w:val="none"/>
        </w:rPr>
        <w:t>缴纳地产交易手续费、</w:t>
      </w:r>
      <w:r>
        <w:rPr>
          <w:rFonts w:ascii="Times New Roman" w:hAnsi="Times New Roman" w:eastAsia="方正仿宋_GBK" w:cs="Times New Roman"/>
          <w:sz w:val="32"/>
          <w:szCs w:val="32"/>
          <w:highlight w:val="none"/>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本《成交确认书》一式</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5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伍</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r>
        <w:rPr>
          <w:rFonts w:ascii="Times New Roman" w:hAnsi="Times New Roman" w:eastAsia="方正仿宋_GBK" w:cs="Times New Roman"/>
          <w:sz w:val="32"/>
          <w:szCs w:val="20"/>
          <w:highlight w:val="none"/>
        </w:rPr>
        <w:t>挂牌人执</w:t>
      </w:r>
      <w:r>
        <w:rPr>
          <w:rFonts w:hint="eastAsia" w:ascii="方正仿宋简体" w:hAnsi="方正仿宋简体" w:eastAsia="方正仿宋简体" w:cs="方正仿宋简体"/>
          <w:sz w:val="32"/>
          <w:szCs w:val="32"/>
          <w:highlight w:val="none"/>
          <w:u w:val="single"/>
        </w:rPr>
        <w:fldChar w:fldCharType="begin"/>
      </w:r>
      <w:r>
        <w:rPr>
          <w:rFonts w:hint="eastAsia" w:ascii="方正仿宋简体" w:hAnsi="方正仿宋简体" w:eastAsia="方正仿宋简体" w:cs="方正仿宋简体"/>
          <w:sz w:val="32"/>
          <w:szCs w:val="32"/>
          <w:highlight w:val="none"/>
          <w:u w:val="single"/>
        </w:rPr>
        <w:instrText xml:space="preserve"> = 1 \* CHINESENUM2 \* MERGEFORMAT </w:instrText>
      </w:r>
      <w:r>
        <w:rPr>
          <w:rFonts w:hint="eastAsia" w:ascii="方正仿宋简体" w:hAnsi="方正仿宋简体" w:eastAsia="方正仿宋简体" w:cs="方正仿宋简体"/>
          <w:sz w:val="32"/>
          <w:szCs w:val="32"/>
          <w:highlight w:val="none"/>
          <w:u w:val="single"/>
        </w:rPr>
        <w:fldChar w:fldCharType="separate"/>
      </w:r>
      <w:r>
        <w:rPr>
          <w:rFonts w:hint="eastAsia" w:ascii="方正仿宋简体" w:hAnsi="方正仿宋简体" w:eastAsia="方正仿宋简体" w:cs="方正仿宋简体"/>
          <w:sz w:val="32"/>
          <w:szCs w:val="32"/>
          <w:highlight w:val="none"/>
          <w:u w:val="single"/>
        </w:rPr>
        <w:t>壹</w:t>
      </w:r>
      <w:r>
        <w:rPr>
          <w:rFonts w:hint="eastAsia" w:ascii="方正仿宋简体" w:hAnsi="方正仿宋简体" w:eastAsia="方正仿宋简体" w:cs="方正仿宋简体"/>
          <w:sz w:val="32"/>
          <w:szCs w:val="32"/>
          <w:highlight w:val="none"/>
          <w:u w:val="single"/>
        </w:rPr>
        <w:fldChar w:fldCharType="end"/>
      </w:r>
      <w:r>
        <w:rPr>
          <w:rFonts w:ascii="Times New Roman" w:hAnsi="Times New Roman" w:eastAsia="方正仿宋_GBK" w:cs="Times New Roman"/>
          <w:sz w:val="32"/>
          <w:szCs w:val="20"/>
          <w:highlight w:val="none"/>
        </w:rPr>
        <w:t>份，出让人执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1 \* CHINESENUM2 \* MERGEFORMAT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壹</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20"/>
          <w:highlight w:val="none"/>
        </w:rPr>
        <w:t>份，</w:t>
      </w:r>
      <w:r>
        <w:rPr>
          <w:rFonts w:ascii="Times New Roman" w:hAnsi="Times New Roman" w:eastAsia="方正仿宋_GBK" w:cs="Times New Roman"/>
          <w:sz w:val="32"/>
          <w:szCs w:val="32"/>
          <w:highlight w:val="none"/>
        </w:rPr>
        <w:t>竞得人执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3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叁</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特此确认。</w:t>
      </w:r>
    </w:p>
    <w:p>
      <w:pPr>
        <w:spacing w:line="48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        法定代表人（或授权委托代理人）：</w:t>
      </w:r>
    </w:p>
    <w:p>
      <w:pPr>
        <w:spacing w:line="480" w:lineRule="exact"/>
        <w:rPr>
          <w:rFonts w:ascii="Times New Roman" w:hAnsi="Times New Roman" w:eastAsia="方正仿宋_GBK" w:cs="Times New Roman"/>
          <w:sz w:val="32"/>
          <w:szCs w:val="32"/>
          <w:highlight w:val="none"/>
        </w:rPr>
      </w:pPr>
    </w:p>
    <w:p>
      <w:pPr>
        <w:spacing w:line="480" w:lineRule="exact"/>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rPr>
        <w:t>竞得人 ：       法定代表人（或授权委托代理人）：</w:t>
      </w:r>
    </w:p>
    <w:p>
      <w:pPr>
        <w:spacing w:line="480" w:lineRule="exact"/>
        <w:ind w:firstLine="5280" w:firstLineChars="165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仿宋_GBK" w:cs="Times New Roman"/>
          <w:sz w:val="32"/>
          <w:highlight w:val="none"/>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自选图形 46"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a:noFill/>
                        </a:ln>
                      </wps:spPr>
                      <wps:bodyPr upright="1"/>
                    </wps:wsp>
                  </a:graphicData>
                </a:graphic>
              </wp:anchor>
            </w:drawing>
          </mc:Choice>
          <mc:Fallback>
            <w:pict>
              <v:shape id="自选图形 46" o:spid="_x0000_s1026" o:spt="100" style="position:absolute;left:0pt;margin-left:0pt;margin-top:0pt;height:50pt;width:50pt;visibility:hidden;z-index:251659264;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aspectratio="f"/>
              </v:shape>
            </w:pict>
          </mc:Fallback>
        </mc:AlternateConten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5"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6"/>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3360"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8" name="矩形 58"/>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wps:txbx>
                      <wps:bodyPr upright="1"/>
                    </wps:wsp>
                  </a:graphicData>
                </a:graphic>
              </wp:anchor>
            </w:drawing>
          </mc:Choice>
          <mc:Fallback>
            <w:pict>
              <v:rect id="_x0000_s1026" o:spid="_x0000_s1026" o:spt="1" style="position:absolute;left:0pt;margin-left:19.5pt;margin-top:31.2pt;height:62.4pt;width:304.5pt;z-index:-251653120;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hEysBQIAADkEAAAOAAAAZHJzL2Uyb0RvYy54bWytU82O&#10;0zAQviPxDpbvNG2hu92o6R4o5YJgpYUHcJ1JYsl/8rhN+jRI3HgIHgfxGoydUvbn0sPm4MzY42/m&#10;+2a8uh2MZgcIqJyt+Gwy5QysdLWybcW/fd2+WXKGUdhaaGeh4kdAfrt+/WrV+xLmrnO6hsAIxGLZ&#10;+4p3MfqyKFB2YAROnAdLh40LRkRyQ1vUQfSEbnQxn06vit6F2gcnAZF2N+MhPyGGSwBd0ygJGyf3&#10;BmwcUQNoEYkSdsojX+dqmwZk/NI0CJHpihPTmFdKQvYurcV6Jco2CN8peSpBXFLCE05GKEtJz1Ab&#10;EQXbB/UMyigZHLomTqQzxUgkK0IsZtMn2tx3wkPmQlKjP4uOLwcrPx/uAlN1xRfUdysMdfzP95+/&#10;f/1gtEHq9B5LCrr3d+HkIZmJ6tAEk/5Egg1Z0eNZURgik7T5dnl1PVuQ2JLOrm/m75ZZ8uL/bR8w&#10;fgRnWDIqHqhjWUhx+ISRMlLov5CUDJ1W9VZpnZ3Q7t7rwA6CurvNXyqZrjwK05b1Fb9ZzBdUh6CR&#10;bWhUyDSeaKNtc75HN/Ay4FTYRmA3FpARxoEyKkKSS5QdiPqDrVk8elLW0oviqRgDNWca6AEmK0dG&#10;ofQlkcRO2wQNebxPKqU2jY1JVhx2A4Emc+fqI3V474NqOxJ4lhVKJzRRWavT9KeRfeiT/fDF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D6ETKwFAgAAOQQAAA4AAAAAAAAAAQAgAAAAJgEA&#10;AGRycy9lMm9Eb2MueG1sUEsFBgAAAAAGAAYAWQEAAJ0FAAAAAA==&#10;">
                <v:fill on="t" focussize="0,0"/>
                <v:stroke color="#FFFFFF" joinstyle="miter"/>
                <v:imagedata o:title=""/>
                <o:lock v:ext="edit" aspectratio="f"/>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mc:Fallback>
        </mc:AlternateConten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4384" behindDoc="1" locked="0" layoutInCell="1" allowOverlap="1">
                <wp:simplePos x="0" y="0"/>
                <wp:positionH relativeFrom="column">
                  <wp:posOffset>4057650</wp:posOffset>
                </wp:positionH>
                <wp:positionV relativeFrom="paragraph">
                  <wp:posOffset>150495</wp:posOffset>
                </wp:positionV>
                <wp:extent cx="619125" cy="748665"/>
                <wp:effectExtent l="4445" t="4445" r="5080" b="8890"/>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58.95pt;width:48.75pt;z-index:-251652096;mso-width-relative:page;mso-height-relative:page;" fillcolor="#FFFFFF" filled="t" stroked="t" coordsize="21600,21600" o:gfxdata="UEsDBAoAAAAAAIdO4kAAAAAAAAAAAAAAAAAEAAAAZHJzL1BLAwQUAAAACACHTuJAuITHqtkAAAAK&#10;AQAADwAAAGRycy9kb3ducmV2LnhtbE2Py07DMBBF90j8gzVI7KiTpqQlxKlECWLTRSllP3WGJMIe&#10;R7H74usxK1iO5ujec8vl2RpxpNH3jhWkkwQEsXZNz62C3fvL3QKED8gNGsek4EIeltX1VYlF4078&#10;RsdtaEUMYV+ggi6EoZDS644s+okbiOPv040WQzzHVjYjnmK4NXKaJLm02HNs6HCgVUf6a3uwCjaI&#10;z5vvV62f6st6VtPqoyZnlLq9SZNHEIHO4Q+GX/2oDlV02rsDN14YBXn2ELcEBdNsDiIC8yy/B7GP&#10;5CzNQVal/D+h+gFQSwMEFAAAAAgAh07iQCFu3joDAgAAOAQAAA4AAABkcnMvZTJvRG9jLnhtbK1T&#10;S27bMBDdF+gdCO5r2UYcN4LlLOK6m6INkPQANDWSCPAHDm3JpynQXQ/R4xS9RoeU6ybpxot4IQ/J&#10;4Zv33gxXt4PR7AABlbMVn02mnIGVrla2rfjXx+2795xhFLYW2lmo+BGQ367fvln1voS565yuITAC&#10;sVj2vuJdjL4sCpQdGIET58HSYeOCEZGWoS3qIHpCN7qYT6fXRe9C7YOTgEi7m/GQnxDDJYCuaZSE&#10;jZN7AzaOqAG0iCQJO+WRrzPbpgEZvzQNQmS64qQ05i8VoXiXvsV6Jco2CN8peaIgLqHwQpMRylLR&#10;M9RGRMH2Qf0HZZQMDl0TJ9KZYhSSHSEVs+kLbx464SFrIavRn03H14OVnw/3gam64oslZ1YY6vjv&#10;bz9+/fzOaIPc6T2WlPTg78NphRQmqUMTTPonEWzIjh7PjsIQmaTN69nNbL7gTNLR1dViucyOF/8u&#10;+4DxIzjDUlDxQA3LPorDJ4xUkFL/pqRa6LSqt0rrvAjt7k4HdhDU3G3+JcZ05Vmatqyv+M0i8xA0&#10;sQ1NClEynlSjbXO9ZzfwMuBEbCOwGwlkhHGejIqQ3BJlB6L+YGsWj56MtfSgeCJjoOZMA72/FOXM&#10;KJS+JJPUaZugIU/3yaXUpbEvKYrDbiDQFO5cfaQG731QbUcGz7JD6YQGKnt1Gv40sU/XFD998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ITHqtkAAAAKAQAADwAAAAAAAAABACAAAAAiAAAAZHJz&#10;L2Rvd25yZXYueG1sUEsBAhQAFAAAAAgAh07iQCFu3joDAgAAOAQAAA4AAAAAAAAAAQAgAAAAKAEA&#10;AGRycy9lMm9Eb2MueG1sUEsFBgAAAAAGAAYAWQEAAJ0FAAAAAA==&#10;">
                <v:fill on="t"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mc:Fallback>
        </mc:AlternateConten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2"/>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第五条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第八条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2"/>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分期支付国有建设用地使用权出让价款的，受让人在支付第二期及以后各期国有建设用地使用权出让价款时，</w:t>
      </w:r>
      <w:r>
        <w:rPr>
          <w:rFonts w:ascii="Times New Roman" w:hAnsi="Times New Roman" w:eastAsia="方正仿宋_GBK" w:cs="Times New Roman"/>
          <w:sz w:val="32"/>
          <w:highlight w:val="none"/>
        </w:rPr>
        <w:t>同意按照</w:t>
      </w:r>
      <w:r>
        <w:rPr>
          <w:rFonts w:hint="eastAsia" w:ascii="Times New Roman" w:hAnsi="Times New Roman" w:eastAsia="方正仿宋_GBK" w:cs="Times New Roman"/>
          <w:sz w:val="32"/>
          <w:highlight w:val="none"/>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第十一条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szCs w:val="32"/>
          <w:highlight w:val="none"/>
          <w:lang w:val="en-US" w:eastAsia="zh-CN" w:bidi="ar-SA"/>
        </w:rPr>
        <w:t xml:space="preserve">第十二条 </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第十三条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7"/>
        <w:spacing w:line="600" w:lineRule="exact"/>
        <w:ind w:firstLine="645"/>
        <w:jc w:val="left"/>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rPr>
        <w:t>7</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lang w:bidi="ar"/>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五</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六</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2"/>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w:t>
      </w:r>
      <w:r>
        <w:rPr>
          <w:rFonts w:hint="eastAsia" w:ascii="Times New Roman" w:hAnsi="Times New Roman" w:eastAsia="方正仿宋_GBK" w:cs="Times New Roman"/>
          <w:b/>
          <w:bCs/>
          <w:kern w:val="2"/>
          <w:sz w:val="32"/>
          <w:szCs w:val="32"/>
          <w:highlight w:val="none"/>
          <w:u w:val="single"/>
          <w:lang w:val="en-US" w:eastAsia="zh-CN"/>
        </w:rPr>
        <w:t>一</w:t>
      </w:r>
      <w:r>
        <w:rPr>
          <w:rFonts w:hint="eastAsia" w:ascii="Times New Roman" w:hAnsi="Times New Roman" w:eastAsia="方正仿宋_GBK" w:cs="Times New Roman"/>
          <w:b/>
          <w:bCs/>
          <w:kern w:val="2"/>
          <w:sz w:val="32"/>
          <w:szCs w:val="32"/>
          <w:highlight w:val="none"/>
          <w:u w:val="single"/>
          <w:lang w:eastAsia="zh-CN"/>
        </w:rPr>
        <w:t>）</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项规定办理：</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2"/>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w:t>
      </w:r>
      <w:r>
        <w:rPr>
          <w:rFonts w:hint="eastAsia" w:ascii="方正楷体_GBK" w:hAnsi="方正仿宋_GBK" w:eastAsia="方正楷体_GBK" w:cs="Times New Roman"/>
          <w:b/>
          <w:bCs/>
          <w:kern w:val="2"/>
          <w:sz w:val="32"/>
          <w:szCs w:val="32"/>
          <w:highlight w:val="none"/>
          <w:lang w:val="en-US" w:eastAsia="zh-CN" w:bidi="ar-SA"/>
        </w:rPr>
        <w:t>第二十条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w:t>
      </w:r>
      <w:r>
        <w:rPr>
          <w:rFonts w:hint="eastAsia" w:ascii="Times New Roman" w:hAnsi="Times New Roman" w:eastAsia="方正仿宋_GBK" w:cs="Times New Roman"/>
          <w:sz w:val="32"/>
          <w:highlight w:val="none"/>
          <w:lang w:val="en-US" w:eastAsia="zh-CN"/>
        </w:rPr>
        <w:t>已形成工业用地或其他建设用地条件</w:t>
      </w:r>
      <w:r>
        <w:rPr>
          <w:rFonts w:ascii="Times New Roman" w:hAnsi="Times New Roman" w:eastAsia="方正仿宋_GBK" w:cs="Times New Roman"/>
          <w:sz w:val="32"/>
          <w:highlight w:val="none"/>
        </w:rPr>
        <w:t>。</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第二十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第二十二条</w:t>
      </w:r>
      <w:r>
        <w:rPr>
          <w:rFonts w:ascii="方正楷体_GBK" w:hAnsi="方正仿宋_GBK" w:eastAsia="方正楷体_GBK" w:cs="Times New Roman"/>
          <w:b/>
          <w:bCs/>
          <w:kern w:val="2"/>
          <w:sz w:val="32"/>
          <w:szCs w:val="32"/>
          <w:highlight w:val="none"/>
          <w:lang w:val="en-US" w:eastAsia="zh-CN" w:bidi="ar-SA"/>
        </w:rPr>
        <w:t xml:space="preserve"> </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第二十三条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第二十四条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第二十五条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w:t>
      </w:r>
      <w:r>
        <w:rPr>
          <w:rFonts w:ascii="Times New Roman" w:hAnsi="Times New Roman" w:eastAsia="方正仿宋_GBK" w:cs="Times New Roman"/>
          <w:sz w:val="32"/>
          <w:highlight w:val="none"/>
          <w:u w:val="none"/>
        </w:rPr>
        <w:t>条第</w:t>
      </w:r>
      <w:r>
        <w:rPr>
          <w:rFonts w:ascii="Times New Roman" w:hAnsi="Times New Roman" w:eastAsia="方正仿宋_GBK" w:cs="Times New Roman"/>
          <w:sz w:val="32"/>
          <w:highlight w:val="none"/>
          <w:u w:val="single"/>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第二十六条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rPr>
        <w:t xml:space="preserve"> </w:t>
      </w:r>
      <w:r>
        <w:rPr>
          <w:rFonts w:ascii="方正楷体_GBK" w:hAnsi="方正仿宋_GBK" w:eastAsia="方正楷体_GBK" w:cs="Times New Roman"/>
          <w:b/>
          <w:bCs/>
          <w:kern w:val="2"/>
          <w:sz w:val="32"/>
          <w:szCs w:val="32"/>
          <w:highlight w:val="none"/>
        </w:rPr>
        <w:t>第二十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第二十</w:t>
      </w:r>
      <w:r>
        <w:rPr>
          <w:rFonts w:hint="eastAsia" w:ascii="方正楷体_GBK" w:hAnsi="方正仿宋_GBK" w:eastAsia="方正楷体_GBK" w:cs="Times New Roman"/>
          <w:b/>
          <w:bCs/>
          <w:kern w:val="2"/>
          <w:sz w:val="32"/>
          <w:szCs w:val="32"/>
          <w:highlight w:val="none"/>
          <w:lang w:val="en-US" w:eastAsia="zh-CN" w:bidi="ar-SA"/>
        </w:rPr>
        <w:t>八</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第二十九条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第三十二条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1</w:t>
      </w:r>
      <w:r>
        <w:rPr>
          <w:rFonts w:ascii="Times New Roman" w:hAnsi="Times New Roman" w:eastAsia="方正仿宋_GBK" w:cs="Times New Roman"/>
          <w:sz w:val="32"/>
          <w:highlight w:val="none"/>
        </w:rPr>
        <w:t xml:space="preserve"> ‰的违约金，出让人有权要求受让人继续履约。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 xml:space="preserve"> 1 </w:t>
      </w:r>
      <w:r>
        <w:rPr>
          <w:rFonts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三</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第三十四条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highlight w:val="none"/>
          <w:u w:val="single"/>
          <w:lang w:val="en-US" w:eastAsia="zh-CN"/>
        </w:rPr>
        <w:t xml:space="preserve">  1 </w:t>
      </w:r>
      <w:r>
        <w:rPr>
          <w:rFonts w:hint="eastAsia" w:ascii="Times New Roman" w:hAnsi="Times New Roman" w:eastAsia="方正仿宋_GBK" w:cs="Times New Roman"/>
          <w:sz w:val="32"/>
          <w:highlight w:val="none"/>
          <w:lang w:val="en-US" w:eastAsia="zh-CN"/>
        </w:rPr>
        <w:t xml:space="preserve"> ‰的违约金，并自行拆除相应的绿化和建筑设施。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受让人按照《国有建设用地使用权出让合同》约定期限缴清国有建设用地使用权出让价款（含延迟缴纳国有建设用地使用权出让价款违约金及分期付款利息）并提出交地申请的，出让人接到交地申请后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 xml:space="preserve">  第三十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2"/>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 xml:space="preserve">条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2"/>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w:t>
      </w:r>
      <w:r>
        <w:rPr>
          <w:rFonts w:hint="eastAsia" w:ascii="方正楷体_GBK" w:hAnsi="方正仿宋_GBK" w:eastAsia="方正楷体_GBK" w:cs="Times New Roman"/>
          <w:b/>
          <w:bCs/>
          <w:kern w:val="2"/>
          <w:sz w:val="32"/>
          <w:szCs w:val="32"/>
          <w:highlight w:val="none"/>
          <w:lang w:val="en-US" w:eastAsia="zh-CN"/>
        </w:rPr>
        <w:t>四十</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2"/>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二</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w:t>
      </w:r>
      <w:r>
        <w:rPr>
          <w:rFonts w:ascii="方正楷体_GBK" w:hAnsi="方正仿宋_GBK" w:eastAsia="方正楷体_GBK" w:cs="Times New Roman"/>
          <w:b/>
          <w:bCs/>
          <w:sz w:val="32"/>
          <w:szCs w:val="32"/>
          <w:highlight w:val="none"/>
        </w:rPr>
        <w:t>四十三</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w:t>
      </w:r>
      <w:r>
        <w:rPr>
          <w:rFonts w:hint="eastAsia" w:ascii="方正楷体_GBK" w:hAnsi="方正仿宋_GBK" w:eastAsia="方正楷体_GBK" w:cs="Times New Roman"/>
          <w:b/>
          <w:bCs/>
          <w:sz w:val="32"/>
          <w:szCs w:val="32"/>
          <w:highlight w:val="none"/>
          <w:lang w:val="en-US" w:eastAsia="zh-CN"/>
        </w:rPr>
        <w:t>五</w:t>
      </w:r>
      <w:r>
        <w:rPr>
          <w:rFonts w:ascii="方正楷体_GBK" w:hAnsi="方正仿宋_GBK"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5"/>
        </w:numPr>
        <w:adjustRightInd w:val="0"/>
        <w:snapToGrid w:val="0"/>
        <w:spacing w:line="62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s="Times New Roman"/>
          <w:bCs/>
          <w:sz w:val="32"/>
          <w:szCs w:val="32"/>
          <w:highlight w:val="none"/>
        </w:rPr>
        <w:t>该地块按土地现状</w:t>
      </w:r>
      <w:r>
        <w:rPr>
          <w:rFonts w:hint="eastAsia" w:ascii="Times New Roman" w:hAnsi="Times New Roman" w:eastAsia="方正仿宋_GBK" w:cs="Times New Roman"/>
          <w:bCs/>
          <w:sz w:val="32"/>
          <w:szCs w:val="32"/>
          <w:highlight w:val="none"/>
          <w:lang w:eastAsia="zh-CN"/>
        </w:rPr>
        <w:t>“净地”</w:t>
      </w:r>
      <w:r>
        <w:rPr>
          <w:rFonts w:ascii="Times New Roman" w:hAnsi="Times New Roman" w:eastAsia="方正仿宋_GBK" w:cs="Times New Roman"/>
          <w:bCs/>
          <w:sz w:val="32"/>
          <w:szCs w:val="32"/>
          <w:highlight w:val="none"/>
        </w:rPr>
        <w:t>挂牌出让</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受让人在入场施工及开发建设过程中对现状</w:t>
      </w:r>
      <w:r>
        <w:rPr>
          <w:rFonts w:hint="eastAsia" w:ascii="Times New Roman" w:hAnsi="Times New Roman" w:eastAsia="方正仿宋_GBK"/>
          <w:color w:val="auto"/>
          <w:sz w:val="32"/>
          <w:szCs w:val="32"/>
          <w:highlight w:val="none"/>
          <w:lang w:eastAsia="zh-CN"/>
        </w:rPr>
        <w:t>“净地”</w:t>
      </w:r>
      <w:r>
        <w:rPr>
          <w:rFonts w:hint="eastAsia" w:ascii="Times New Roman" w:hAnsi="Times New Roman" w:eastAsia="方正仿宋_GBK"/>
          <w:color w:val="auto"/>
          <w:sz w:val="32"/>
          <w:szCs w:val="32"/>
          <w:highlight w:val="none"/>
        </w:rPr>
        <w:t>产生异议的，一切责任由受让人承担，出让人不承担任何责任。</w:t>
      </w:r>
      <w:r>
        <w:rPr>
          <w:rFonts w:ascii="Times New Roman" w:hAnsi="Times New Roman" w:eastAsia="方正仿宋_GBK"/>
          <w:color w:val="auto"/>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方正仿宋_GBK" w:eastAsia="方正仿宋_GBK" w:cs="Times New Roman"/>
          <w:bCs/>
          <w:color w:val="auto"/>
          <w:sz w:val="32"/>
          <w:szCs w:val="32"/>
          <w:highlight w:val="none"/>
          <w:lang w:val="en-US" w:eastAsia="zh-CN"/>
        </w:rPr>
        <w:t>二、</w:t>
      </w: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三、</w:t>
      </w:r>
      <w:r>
        <w:rPr>
          <w:rFonts w:ascii="Times New Roman" w:hAnsi="Times New Roman" w:eastAsia="方正仿宋_GBK" w:cs="Times New Roman"/>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四、</w:t>
      </w:r>
      <w:r>
        <w:rPr>
          <w:rFonts w:ascii="Times New Roman" w:hAnsi="Times New Roman" w:eastAsia="方正仿宋_GBK" w:cs="Times New Roman"/>
          <w:bCs/>
          <w:sz w:val="32"/>
          <w:szCs w:val="32"/>
          <w:highlight w:val="none"/>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hint="eastAsia" w:ascii="Times New Roman" w:hAnsi="Times New Roman" w:eastAsia="方正仿宋_GBK" w:cs="Times New Roman"/>
          <w:bCs/>
          <w:sz w:val="32"/>
          <w:szCs w:val="32"/>
          <w:highlight w:val="none"/>
          <w:lang w:val="en-US" w:eastAsia="zh-CN"/>
        </w:rPr>
        <w:t>五、</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kern w:val="0"/>
          <w:sz w:val="32"/>
          <w:szCs w:val="32"/>
          <w:highlight w:val="none"/>
          <w:lang w:val="en-US" w:eastAsia="zh-CN"/>
        </w:rPr>
        <w:t>六、</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七、</w:t>
      </w:r>
      <w:r>
        <w:rPr>
          <w:rFonts w:ascii="Times New Roman" w:hAnsi="Times New Roman" w:eastAsia="方正仿宋_GBK" w:cs="Times New Roman"/>
          <w:bCs/>
          <w:sz w:val="32"/>
          <w:szCs w:val="32"/>
          <w:highlight w:val="none"/>
        </w:rPr>
        <w:t>国有建设用地使用权出让合同（示范文本）部分条款释义（详见附件</w:t>
      </w:r>
      <w:r>
        <w:rPr>
          <w:rFonts w:hint="eastAsia" w:ascii="Times New Roman" w:hAnsi="Times New Roman" w:eastAsia="方正仿宋_GBK" w:cs="Times New Roman"/>
          <w:bCs/>
          <w:sz w:val="32"/>
          <w:szCs w:val="32"/>
          <w:highlight w:val="none"/>
          <w:lang w:val="en-US" w:eastAsia="zh-CN"/>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八、</w:t>
      </w:r>
      <w:r>
        <w:rPr>
          <w:rFonts w:ascii="Times New Roman" w:hAnsi="Times New Roman" w:eastAsia="方正仿宋_GBK" w:cs="Times New Roman"/>
          <w:bCs/>
          <w:sz w:val="32"/>
          <w:szCs w:val="32"/>
          <w:highlight w:val="none"/>
        </w:rPr>
        <w:t>受让人须设立《建设项目用地信息公示牌》（详见附件</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九、</w:t>
      </w:r>
      <w:r>
        <w:rPr>
          <w:rFonts w:ascii="Times New Roman" w:hAnsi="Times New Roman" w:eastAsia="方正仿宋_GBK" w:cs="Times New Roman"/>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kern w:val="2"/>
          <w:sz w:val="32"/>
          <w:szCs w:val="32"/>
          <w:highlight w:val="none"/>
          <w:lang w:val="en-US" w:eastAsia="zh-CN"/>
        </w:rPr>
        <w:t>十、</w:t>
      </w:r>
      <w:r>
        <w:rPr>
          <w:rFonts w:ascii="Times New Roman" w:hAnsi="Times New Roman" w:eastAsia="方正仿宋_GBK" w:cs="Times New Roman"/>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委托代理人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日</w:t>
      </w:r>
    </w:p>
    <w:p>
      <w:pPr>
        <w:pStyle w:val="19"/>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8480"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wps:wsp>
                    </wpg:wgp>
                  </a:graphicData>
                </a:graphic>
              </wp:anchor>
            </w:drawing>
          </mc:Choice>
          <mc:Fallback>
            <w:pict>
              <v:group id="组合 3" o:spid="_x0000_s1026" o:spt="203" style="position:absolute;left:0pt;margin-left:0pt;margin-top:0pt;height:390pt;width:414pt;mso-position-horizontal-relative:char;mso-position-vertical-relative:line;z-index:25166848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K/Wwr30DAADgCgAADgAAAGRycy9lMm9Eb2MueG1s3VZLbxMx&#10;EL4j8R8s32leDU1W3SLo61JBxevu7nofwmtbttukdwScECcuIBBIICFx5IYQv4bCz2DG8SabQKAU&#10;ARI5bOz1eDzzffPNev3SuBLkiBtbKhnTzkqbEi4TlZYyj+mtmzsXBpRYx2TKhJI8psfc0ksb58+t&#10;j3TEu6pQIuWGgBNpo5GOaeGcjlotmxS8YnZFaS5hMVOmYg6mJm+lho3AeyVa3Xb7YmukTKqNSri1&#10;8HZrskiDR3MahyrLyoRvqeSw4tJNvBoumIOUbFFqSzd8tFnGE3ctyyx3RMQUMnX+CYfA+ACfrY11&#10;FuWG6aJMQgjsNCEs5FSxUsKhU1dbzDFyaMpvXFVlYpRVmVtJVNWaJOIRgSw67QVsdo061D6XPBrl&#10;ego6ELWA+pndJleP9g0p05h2KZGsAsI/v7/76dED0kNsRjqPwGTX6Bt630wShOGeSu5YItV1BYB2&#10;YKPaLJjM+WWrAXF8BXtbi5txns88jTNToUcAgYw9I8dTRvjYkQRe9rv9tUEbyEpgbXXY77Vh4jlL&#10;CiAW93X8Oix3Br3p2nbYP+gOwmbvBqNiUX0w9/WxZ10d7DS4kYbatjPA7e8BfqNgmnseLaIZAO8N&#10;p4g/f/Ppw0sCLyASPBuMarztFOzvQ9wwxp020FTnGMD9Dkg1xD+ESBvrdrmqCA5iaoBdX+bsKMDG&#10;otoEqZRqpxTC8yMkGcV0CAT6DdMVwF9ItF1Avw4dkzhQ6TGAdKhNmReNcvKkTBD64+ysQt0EPTx5&#10;d/Lw1ZePz+D5+e1rAiszmjblvgmzJvQkE6W+jUJoVPhg0AWnc5VakwAawgqHIkXfjRqt0Q0EiFJi&#10;IbFoCQEN1EnCoDtn0BXBd6XTmFqZ+71WiTJFotCRNfnBpjDkiGGH9L8QwpwZxrHFbDGxEzmO0Y5F&#10;BWfptkyJO9bQPCR8MygyX/GUEsHhE4Mjb+lYKWaWzpTQMsQS69OXCeIV9Pq3SgM7nm+VJ4/vnzx9&#10;e/LiHln1La+hXeLGVxS2J8z9R8ocYofC7rY2XJ3gVBfFsG58vf7Qd+PldfEzYc5xOUf5jv/hweB9&#10;zqxRS8jzLynYjQ/GIe8gZrhxgJI5uw3/9B9Le/apW5R2t2YLOvASaSMWdVedcddZ4C4Iujvo9QO2&#10;dUf+fxW9XPtnVLO/QcDFx9dmuKThzao59+qfXUw3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AG&#10;s5uD1QAAAAUBAAAPAAAAAAAAAAEAIAAAACIAAABkcnMvZG93bnJldi54bWxQSwECFAAUAAAACACH&#10;TuJAK/Wwr30DAADgCgAADgAAAAAAAAABACAAAAAkAQAAZHJzL2Uyb0RvYy54bWxQSwUGAAAAAAYA&#10;BgBZAQAAEwcAAAAA&#10;">
                <o:lock v:ext="edit" rotation="t" aspectratio="t"/>
                <v:rect id="_x0000_s1026" o:spid="_x0000_s1026"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fill on="f" focussize="0,0"/>
                  <v:stroke on="f"/>
                  <v:imagedata o:title=""/>
                  <o:lock v:ext="edit" aspectratio="t"/>
                </v:rect>
                <v:line id="_x0000_s1026" o:spid="_x0000_s1026" o:spt="20" style="position:absolute;left:8820;top:1830;flip:y;height:780;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fill on="f" focussize="0,0"/>
                  <v:stroke color="#000000" joinstyle="round" dashstyle="longDash"/>
                  <v:imagedata o:title=""/>
                  <o:lock v:ext="edit" aspectratio="f"/>
                </v:lin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19"/>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233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233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1312"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50"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a:effectLst/>
                      </wps:spPr>
                      <wps:txbx>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65pt;width:45pt;z-index:251661312;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028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6028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fill on="f" focussize="0,0"/>
                <v:stroke color="#000000" joinstyle="round" dashstyle="longDash"/>
                <v:imagedata o:title=""/>
                <o:lock v:ext="edit" aspectratio="f"/>
                <w10:anchorlock/>
              </v:line>
            </w:pict>
          </mc:Fallback>
        </mc:AlternateConten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9504"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a:effectLst/>
                      </wpg:grpSpPr>
                      <wps:wsp>
                        <wps:cNvPr id="5" name="矩形 5"/>
                        <wps:cNvSpPr>
                          <a:spLocks noChangeAspect="1"/>
                        </wps:cNvSpPr>
                        <wps:spPr>
                          <a:xfrm>
                            <a:off x="1800" y="2142"/>
                            <a:ext cx="9000" cy="9672"/>
                          </a:xfrm>
                          <a:prstGeom prst="rect">
                            <a:avLst/>
                          </a:prstGeom>
                          <a:noFill/>
                          <a:ln w="9525">
                            <a:noFill/>
                          </a:ln>
                          <a:effectLst/>
                        </wps:spPr>
                        <wps:bodyPr upright="1"/>
                      </wps:wsp>
                      <wps:wsp>
                        <wps:cNvPr id="4"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wps:wsp>
                      <wps:wsp>
                        <wps:cNvPr id="8"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wps:wsp>
                      <wps:wsp>
                        <wps:cNvPr id="9"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wps:wsp>
                      <wps:wsp>
                        <wps:cNvPr id="16"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wps:wsp>
                      <wps:wsp>
                        <wps:cNvPr id="17"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wps:wsp>
                      <wps:wsp>
                        <wps:cNvPr id="18"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wps:wsp>
                      <wps:wsp>
                        <wps:cNvPr id="19" name="文本框 12"/>
                        <wps:cNvSpPr txBox="1"/>
                        <wps:spPr>
                          <a:xfrm>
                            <a:off x="7920" y="2687"/>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20" name="文本框 13"/>
                        <wps:cNvSpPr txBox="1"/>
                        <wps:spPr>
                          <a:xfrm>
                            <a:off x="7920" y="6726"/>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21"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wps:wsp>
                      <wps:wsp>
                        <wps:cNvPr id="22"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wps:wsp>
                      <wps:wsp>
                        <wps:cNvPr id="23"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wps:wsp>
                      <wps:wsp>
                        <wps:cNvPr id="24"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wps:wsp>
                      <wps:wsp>
                        <wps:cNvPr id="25"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wps:wsp>
                      <wps:wsp>
                        <wps:cNvPr id="26"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wps:wsp>
                      <wps:wsp>
                        <wps:cNvPr id="27"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wps:wsp>
                      <wps:wsp>
                        <wps:cNvPr id="28"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wps:wsp>
                      <wps:wsp>
                        <wps:cNvPr id="29"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wps:wsp>
                      <wps:wsp>
                        <wps:cNvPr id="30"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wps:wsp>
                      <wps:wsp>
                        <wps:cNvPr id="31"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wps:wsp>
                      <wps:wsp>
                        <wps:cNvPr id="32"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wps:wsp>
                      <wps:wsp>
                        <wps:cNvPr id="33"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wps:wsp>
                      <wps:wsp>
                        <wps:cNvPr id="34"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wps:wsp>
                      <wps:wsp>
                        <wps:cNvPr id="35"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wps:wsp>
                      <wps:wsp>
                        <wps:cNvPr id="36"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wps:wsp>
                      <wps:wsp>
                        <wps:cNvPr id="37"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wps:wsp>
                      <wps:wsp>
                        <wps:cNvPr id="38"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wps:wsp>
                      <wps:wsp>
                        <wps:cNvPr id="43"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wps:wsp>
                      <wps:wsp>
                        <wps:cNvPr id="44"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wps:wsp>
                      <wps:wsp>
                        <wps:cNvPr id="46"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wps:wsp>
                      <wps:wsp>
                        <wps:cNvPr id="47"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wps:wsp>
                      <wps:wsp>
                        <wps:cNvPr id="48" name="文本框 36"/>
                        <wps:cNvSpPr txBox="1"/>
                        <wps:spPr>
                          <a:xfrm>
                            <a:off x="6510" y="4743"/>
                            <a:ext cx="2520" cy="780"/>
                          </a:xfrm>
                          <a:prstGeom prst="rect">
                            <a:avLst/>
                          </a:prstGeom>
                          <a:solidFill>
                            <a:srgbClr val="FFFFFF"/>
                          </a:solidFill>
                          <a:ln w="9525">
                            <a:noFill/>
                          </a:ln>
                          <a:effectLst/>
                        </wps:spPr>
                        <wps:txbx>
                          <w:txbxContent>
                            <w:p>
                              <w:r>
                                <w:t>h=   m</w:t>
                              </w:r>
                            </w:p>
                          </w:txbxContent>
                        </wps:txbx>
                        <wps:bodyPr upright="1"/>
                      </wps:wsp>
                      <wps:wsp>
                        <wps:cNvPr id="52" name="文本框 37"/>
                        <wps:cNvSpPr txBox="1"/>
                        <wps:spPr>
                          <a:xfrm>
                            <a:off x="6510" y="9003"/>
                            <a:ext cx="2520" cy="780"/>
                          </a:xfrm>
                          <a:prstGeom prst="rect">
                            <a:avLst/>
                          </a:prstGeom>
                          <a:solidFill>
                            <a:srgbClr val="FFFFFF"/>
                          </a:solidFill>
                          <a:ln w="9525">
                            <a:noFill/>
                          </a:ln>
                          <a:effectLst/>
                        </wps:spPr>
                        <wps:txbx>
                          <w:txbxContent>
                            <w:p>
                              <w:r>
                                <w:t>h=   m</w:t>
                              </w:r>
                            </w:p>
                          </w:txbxContent>
                        </wps:txbx>
                        <wps:bodyPr upright="1"/>
                      </wps:wsp>
                    </wpg:wgp>
                  </a:graphicData>
                </a:graphic>
              </wp:anchor>
            </w:drawing>
          </mc:Choice>
          <mc:Fallback>
            <w:pict>
              <v:group id="组合 4" o:spid="_x0000_s1026" o:spt="203" style="position:absolute;left:0pt;margin-left:0pt;margin-top:0pt;height:483.6pt;width:450pt;mso-position-horizontal-relative:char;mso-position-vertical-relative:line;z-index:25166950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UzLNMTAGAAAqRgAADgAAAGRycy9lMm9Eb2MueG1s7VxLb+tE&#10;FN4j8R8s72nidxI1vYL29m6uoOIC+6kfsYXtsWbcJt0jLivEig0IBBJISHfJDiF+zW35GZwZj+00&#10;zaSuK5UYJovIyTw8c8435/F5xofPVlmqXYaEJjif68bBWNfC3MdBki/m+qefnL430TVaojxAKc7D&#10;uX4VUv3Z0bvvHC6LWWjiGKdBSDToJKezZTHX47IsZqMR9eMwQ/QAF2EOhREmGSrhJ1mMAoKW0HuW&#10;jszx2B0tMQkKgv2QUvj3pCrURY+kS4c4ihI/PMH+RRbmZdUrCVNUwpRonBRUP+KjjaLQLz+KIhqW&#10;WjrXYaYl/4abwPU5+x4dHaLZgqAiTnwxBNRlCBtzylCSw02brk5QibQLktzpKkt8gimOygMfZ6Nq&#10;IlwiMAtjvCGbFwRfFHwui9lyUTRCB0VtSL13t/6Hl2dES4K5bulajjJQ+M0fX7z95ivNZrJZFosZ&#10;VHlBilfFGakmCJcvsf851XL8MQaBGtAQH8coX4Tv0wIkzv6CtqPNxuz3ou1pFZGM9QhC0FZcI1eN&#10;RsJVqfnwp+MZzngMyvKhzDVswzOFzvwYFMvaGRNWDsWmYZuVPv34uWg/bRpPXY+XjtCsvnHI8fGS&#10;lvVgm8EtC8A2bQVOHyfwVzEqQq5HyqQpBO40Av/xt7d//qw5lcB5lVratBH1dgGvVWZjpkJJ9QyF&#10;aLeIqBbwTgEVhJYvQpxp7GKuE9AtBzm6FEJDs7oKU2SOT5M05SsqzbXlXJ86psMbNCUg/TRndTdk&#10;Xw+dTeIcB1cgoouCJIt4DUxcJQyST6Abu9HNd79ff/3L33/9AN83b37V3DUlHednhK+RevQttITg&#10;TU9g0xp7kwqbteCdqS1gXS2Wtm0tUiH1NMkZdtBMIvVK1EZ1Kx+BRY7AEsKKyYpgrtN8wRtTnCYB&#10;Uw/riZLF+XFKtEvErCL/sMGBcm5VYwM5QTSu6vGiag5xiILneaCVVwXYixzchM7UnYWBrqUheBV2&#10;xXFQoiTtUrM7Ltg4BQSeCAvgD4Vh3MCCx+bIxgJrugMW3AmseLBTd7FgQAEzcBPb5FZ3zUYpMJSN&#10;ga6XWWsknh4MUxkY+PLuDobaMHiGxVUOFlG4LNcAF8fhwD2dwkJHh/H0WDBcGRimD7MMNRgMCHZE&#10;CNOgwZ4oNDQOZZ/dhOHJ0GDwhdzZNrhWGzTwmLC1DRBqMz9hjx0ehzzWNvD4TPs3YoaSJJAvpB3j&#10;ht219xoU0uDB4GHfw0Fx12EI+2BbLvdBChTM+O41KJog4vrb19ffv7n+6UvN4HZfwIFlf1q5+gCz&#10;9LZ2JZLczpuycIGlv+6EB6SttTAnte/w4KISSp0ZbsSV96V2t/KCW+nDKf+I3m9Ve0wOWK7OVzBg&#10;Jo99SAeZiKscYE1jVq0ZCP97aQwYCW7GlcYew2ZtJ1dMxkpVdNZG1mYIYmtX2qZFaVJ8xhYfS5fr&#10;ZJ4vJ1hpd00wECyVZzaG7pj/68m8aUpxsc6/SdL5rbiweMKmcHEvHbTPPtls6e9Ne9GB8tuOC8ut&#10;PLOyF7tpwr3GhZQJhnxPRChy+m87LlyR3ylcDBgXQNlK4osOTOB2XEzYEwHlR4btR6ScoNGBFNyK&#10;C3vMokuFi2HjQsoOVg+0dxNB23Fhicxf+ZEB+xEpQQgZbL/4wnZU3Dn4h85mwxHebOQjkMH2xAVj&#10;AZUfuX/bwj7nIxaocHvcCRlsP1zAM0eFi6FvUrGkfGe1paRHfOGYyo8M3o9YUr4Ttub1tBewI1P5&#10;kQ7b3/baj0j5zuqZVB974Sn+Yvj2Qsp3mn35Tmeq4s7h40LKd5p9+U7XVHHn8HEh5Tshg+0XX7i2&#10;ijuHjwsp3wkZbE9cuI0fcTb2TKv9F+vHLvY67pTynZDB9sRFvQMOzoopXOw4jrPPuLCl+QhksP1w&#10;4RmNH1G42HVMa69xIc1HrL58J6SpNX+hcDFYXEjjzuo8VQ/+wnMb/kLhYrC4kMedffnO5hCvZ1Q5&#10;TbtfW8WdQ4k77SbubHfwW+s7Ox+yg9914EgXe5JqexC3QHTSIsJ0GKnBDmmpMxddX3OxfQe/0zy5&#10;WNPYOgfZS2PwvoP/o8b4uzjgFSL8YJR43Ql7R8n6b36wvn3Fy9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N4js1tUAAAAFAQAADwAAAAAAAAABACAAAAAiAAAAZHJzL2Rvd25yZXYueG1sUEsBAhQA&#10;FAAAAAgAh07iQFMyzTEwBgAAKkYAAA4AAAAAAAAAAQAgAAAAJAEAAGRycy9lMm9Eb2MueG1sUEsF&#10;BgAAAAAGAAYAWQEAAMYJAAAAAA==&#10;">
                <o:lock v:ext="edit" rotation="t" aspectratio="t"/>
                <v:rect id="_x0000_s1026" o:spid="_x0000_s1026"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fill on="f" focussize="0,0"/>
                  <v:stroke on="f"/>
                  <v:imagedata o:title=""/>
                  <o:lock v:ext="edit" aspectratio="t"/>
                </v:rect>
                <v:line id="直接连接符 6" o:spid="_x0000_s1026" o:spt="20" style="position:absolute;left:2700;top:3078;height:1;width:594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fill on="f" focussize="0,0"/>
                  <v:stroke weight="1pt" color="#000000" joinstyle="round"/>
                  <v:imagedata o:title=""/>
                  <o:lock v:ext="edit" aspectratio="f"/>
                </v:line>
                <v:line id="直接连接符 7" o:spid="_x0000_s1026" o:spt="20" style="position:absolute;left:2685;top:3078;height:8424;width: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fill on="f" focussize="0,0"/>
                  <v:stroke weight="1pt" color="#000000" joinstyle="round"/>
                  <v:imagedata o:title=""/>
                  <o:lock v:ext="edit" aspectratio="f"/>
                </v:line>
                <v:line id="直接连接符 8" o:spid="_x0000_s1026" o:spt="20" style="position:absolute;left:2700;top:7134;height:0;width:61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fill on="f" focussize="0,0"/>
                  <v:stroke weight="1pt" color="#000000" joinstyle="round"/>
                  <v:imagedata o:title=""/>
                  <o:lock v:ext="edit" aspectratio="f"/>
                </v:line>
                <v:line id="直接连接符 9" o:spid="_x0000_s1026" o:spt="20" style="position:absolute;left:2700;top:11502;height:0;width:64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fill on="f" focussize="0,0"/>
                  <v:stroke weight="1pt" color="#000000" joinstyle="round"/>
                  <v:imagedata o:title=""/>
                  <o:lock v:ext="edit" aspectratio="f"/>
                </v:line>
                <v:line id="直接连接符 10" o:spid="_x0000_s1026" o:spt="20" style="position:absolute;left:6300;top:3075;height:405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fill on="f" focussize="0,0"/>
                  <v:stroke color="#000000" joinstyle="round" startarrow="block" endarrow="block"/>
                  <v:imagedata o:title=""/>
                  <o:lock v:ext="edit" aspectratio="f"/>
                </v:line>
                <v:line id="直接连接符 11" o:spid="_x0000_s1026" o:spt="20" style="position:absolute;left:6300;top:7134;height:4368;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fill on="f" focussize="0,0"/>
                  <v:stroke color="#000000" joinstyle="round" startarrow="block" endarrow="block"/>
                  <v:imagedata o:title=""/>
                  <o:lock v:ext="edit" aspectratio="f"/>
                </v:line>
                <v:shape id="文本框 12" o:spid="_x0000_s1026" o:spt="202" type="#_x0000_t202" style="position:absolute;left:7920;top:2687;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fill on="f" focussize="0,0"/>
                  <v:stroke color="#000000" joinstyle="round"/>
                  <v:imagedata o:title=""/>
                  <o:lock v:ext="edit" aspectratio="f"/>
                </v:line>
                <v:line id="直接连接符 15" o:spid="_x0000_s1026" o:spt="20" style="position:absolute;left:31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fill on="f" focussize="0,0"/>
                  <v:stroke color="#000000" joinstyle="round"/>
                  <v:imagedata o:title=""/>
                  <o:lock v:ext="edit" aspectratio="f"/>
                </v:line>
                <v:line id="直接连接符 16" o:spid="_x0000_s1026" o:spt="20" style="position:absolute;left:33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fill on="f" focussize="0,0"/>
                  <v:stroke color="#000000" joinstyle="round"/>
                  <v:imagedata o:title=""/>
                  <o:lock v:ext="edit" aspectratio="f"/>
                </v:line>
                <v:line id="直接连接符 17" o:spid="_x0000_s1026" o:spt="20" style="position:absolute;left:36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fill on="f" focussize="0,0"/>
                  <v:stroke color="#000000" joinstyle="round"/>
                  <v:imagedata o:title=""/>
                  <o:lock v:ext="edit" aspectratio="f"/>
                </v:line>
                <v:line id="直接连接符 18" o:spid="_x0000_s1026" o:spt="20" style="position:absolute;left:38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fill on="f" focussize="0,0"/>
                  <v:stroke color="#000000" joinstyle="round"/>
                  <v:imagedata o:title=""/>
                  <o:lock v:ext="edit" aspectratio="f"/>
                </v:line>
                <v:line id="直接连接符 19" o:spid="_x0000_s1026" o:spt="20" style="position:absolute;left:40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fill on="f" focussize="0,0"/>
                  <v:stroke color="#000000" joinstyle="round"/>
                  <v:imagedata o:title=""/>
                  <o:lock v:ext="edit" aspectratio="f"/>
                </v:line>
                <v:line id="直接连接符 20" o:spid="_x0000_s1026" o:spt="20" style="position:absolute;left:43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fill on="f" focussize="0,0"/>
                  <v:stroke color="#000000" joinstyle="round"/>
                  <v:imagedata o:title=""/>
                  <o:lock v:ext="edit" aspectratio="f"/>
                </v:line>
                <v:line id="直接连接符 21" o:spid="_x0000_s1026" o:spt="20" style="position:absolute;left:45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fill on="f" focussize="0,0"/>
                  <v:stroke color="#000000" joinstyle="round"/>
                  <v:imagedata o:title=""/>
                  <o:lock v:ext="edit" aspectratio="f"/>
                </v:line>
                <v:line id="直接连接符 22" o:spid="_x0000_s1026" o:spt="20" style="position:absolute;left:47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fill on="f" focussize="0,0"/>
                  <v:stroke color="#000000" joinstyle="round"/>
                  <v:imagedata o:title=""/>
                  <o:lock v:ext="edit" aspectratio="f"/>
                </v:line>
                <v:line id="直接连接符 23" o:spid="_x0000_s1026" o:spt="20" style="position:absolute;left:50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fill on="f" focussize="0,0"/>
                  <v:stroke color="#000000" joinstyle="round"/>
                  <v:imagedata o:title=""/>
                  <o:lock v:ext="edit" aspectratio="f"/>
                </v:line>
                <v:line id="直接连接符 24" o:spid="_x0000_s1026" o:spt="20" style="position:absolute;left:52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fill on="f" focussize="0,0"/>
                  <v:stroke color="#000000" joinstyle="round"/>
                  <v:imagedata o:title=""/>
                  <o:lock v:ext="edit" aspectratio="f"/>
                </v:line>
                <v:line id="直接连接符 25" o:spid="_x0000_s1026" o:spt="20" style="position:absolute;left:55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fill on="f" focussize="0,0"/>
                  <v:stroke color="#000000" joinstyle="round"/>
                  <v:imagedata o:title=""/>
                  <o:lock v:ext="edit" aspectratio="f"/>
                </v:line>
                <v:line id="直接连接符 26" o:spid="_x0000_s1026" o:spt="20" style="position:absolute;left:57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fill on="f" focussize="0,0"/>
                  <v:stroke color="#000000" joinstyle="round"/>
                  <v:imagedata o:title=""/>
                  <o:lock v:ext="edit" aspectratio="f"/>
                </v:line>
                <v:line id="直接连接符 27" o:spid="_x0000_s1026" o:spt="20" style="position:absolute;left:59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fill on="f" focussize="0,0"/>
                  <v:stroke color="#000000" joinstyle="round"/>
                  <v:imagedata o:title=""/>
                  <o:lock v:ext="edit" aspectratio="f"/>
                </v:line>
                <v:line id="直接连接符 28" o:spid="_x0000_s1026" o:spt="20" style="position:absolute;left:62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fill on="f" focussize="0,0"/>
                  <v:stroke color="#000000" joinstyle="round"/>
                  <v:imagedata o:title=""/>
                  <o:lock v:ext="edit" aspectratio="f"/>
                </v:line>
                <v:line id="直接连接符 29" o:spid="_x0000_s1026" o:spt="20" style="position:absolute;left:64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fill on="f" focussize="0,0"/>
                  <v:stroke color="#000000" joinstyle="round"/>
                  <v:imagedata o:title=""/>
                  <o:lock v:ext="edit" aspectratio="f"/>
                </v:line>
                <v:line id="直接连接符 30" o:spid="_x0000_s1026" o:spt="20" style="position:absolute;left:668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fill on="f" focussize="0,0"/>
                  <v:stroke color="#000000" joinstyle="round"/>
                  <v:imagedata o:title=""/>
                  <o:lock v:ext="edit" aspectratio="f"/>
                </v:line>
                <v:line id="直接连接符 31" o:spid="_x0000_s1026" o:spt="20" style="position:absolute;left:692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fill on="f" focussize="0,0"/>
                  <v:stroke color="#000000" joinstyle="round"/>
                  <v:imagedata o:title=""/>
                  <o:lock v:ext="edit" aspectratio="f"/>
                </v:line>
                <v:line id="直接连接符 32" o:spid="_x0000_s1026" o:spt="20" style="position:absolute;left:716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fill on="f" focussize="0,0"/>
                  <v:stroke color="#000000" joinstyle="round"/>
                  <v:imagedata o:title=""/>
                  <o:lock v:ext="edit" aspectratio="f"/>
                </v:line>
                <v:line id="直接连接符 33" o:spid="_x0000_s1026" o:spt="20" style="position:absolute;left:740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fill on="f" focussize="0,0"/>
                  <v:stroke color="#000000" joinstyle="round"/>
                  <v:imagedata o:title=""/>
                  <o:lock v:ext="edit" aspectratio="f"/>
                </v:line>
                <v:line id="直接连接符 34" o:spid="_x0000_s1026" o:spt="20" style="position:absolute;left:764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fill on="f" focussize="0,0"/>
                  <v:stroke color="#000000" joinstyle="round"/>
                  <v:imagedata o:title=""/>
                  <o:lock v:ext="edit" aspectratio="f"/>
                </v:line>
                <v:line id="直接连接符 35" o:spid="_x0000_s1026" o:spt="20" style="position:absolute;left:2700;top:7129;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fill on="f" focussize="0,0"/>
                  <v:stroke color="#000000" joinstyle="round"/>
                  <v:imagedata o:title=""/>
                  <o:lock v:ext="edit" aspectratio="f"/>
                </v:line>
                <v:shape id="文本框 36" o:spid="_x0000_s1026" o:spt="202" type="#_x0000_t202" style="position:absolute;left:6510;top:474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fill on="t" focussize="0,0"/>
                  <v:stroke on="f"/>
                  <v:imagedata o:title=""/>
                  <o:lock v:ext="edit" aspectratio="f"/>
                  <v:textbox>
                    <w:txbxContent>
                      <w:p>
                        <w:r>
                          <w:t>h=   m</w:t>
                        </w:r>
                      </w:p>
                    </w:txbxContent>
                  </v:textbox>
                </v:shape>
                <v:shape id="文本框 37" o:spid="_x0000_s1026" o:spt="202" type="#_x0000_t202" style="position:absolute;left:6510;top:900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fill on="t" focussize="0,0"/>
                  <v:stroke on="f"/>
                  <v:imagedata o:title=""/>
                  <o:lock v:ext="edit" aspectratio="f"/>
                  <v:textbox>
                    <w:txbxContent>
                      <w:p>
                        <w:r>
                          <w:t>h=   m</w:t>
                        </w:r>
                      </w:p>
                    </w:txbxContent>
                  </v:textbox>
                </v:shap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市(县)政府规划管理部门确定的出让宗地规划条件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0"/>
        <w:ind w:firstLine="210"/>
        <w:rPr>
          <w:highlight w:val="none"/>
        </w:rPr>
      </w:pPr>
    </w:p>
    <w:p>
      <w:pPr>
        <w:pStyle w:val="20"/>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释义：分期付款利率按照受让人支付第一期土地出让价款次日中国人民银行授权</w:t>
      </w:r>
      <w:r>
        <w:rPr>
          <w:rFonts w:ascii="Times New Roman" w:hAnsi="Times New Roman" w:eastAsia="方正仿宋_GBK" w:cs="Times New Roman"/>
          <w:sz w:val="32"/>
          <w:szCs w:val="32"/>
          <w:highlight w:val="none"/>
          <w:shd w:val="clear" w:color="auto" w:fill="FFFFFF"/>
        </w:rPr>
        <w:t>全国银行间同业拆借中心公布的1年期贷款市场报价利率（LPR）</w:t>
      </w:r>
      <w:r>
        <w:rPr>
          <w:rFonts w:ascii="Times New Roman" w:hAnsi="Times New Roman" w:eastAsia="方正仿宋_GBK" w:cs="Times New Roman"/>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7"/>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highlight w:val="none"/>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w:t>
      </w:r>
      <w:r>
        <w:rPr>
          <w:rFonts w:ascii="Times New Roman" w:hAnsi="Times New Roman" w:eastAsia="方正仿宋_GBK" w:cs="Times New Roman"/>
          <w:sz w:val="32"/>
          <w:highlight w:val="none"/>
        </w:rPr>
        <w:t>受让人同意本合同项下宗地用于工业项目建设</w:t>
      </w:r>
      <w:r>
        <w:rPr>
          <w:rFonts w:ascii="Times New Roman" w:hAnsi="Times New Roman" w:eastAsia="方正仿宋_GBK" w:cs="Times New Roman"/>
          <w:sz w:val="32"/>
          <w:szCs w:val="32"/>
          <w:highlight w:val="none"/>
        </w:rPr>
        <w:t>，受让人同意本合同项下宗地的项目固定资产总投资不低于经批准或登记备案的金额人民币大写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五、条款原文：第</w:t>
      </w:r>
      <w:r>
        <w:rPr>
          <w:rFonts w:hint="eastAsia" w:ascii="Times New Roman" w:hAnsi="Times New Roman" w:eastAsia="方正仿宋_GBK" w:cs="Times New Roman"/>
          <w:sz w:val="32"/>
          <w:highlight w:val="none"/>
        </w:rPr>
        <w:t>十五</w:t>
      </w:r>
      <w:r>
        <w:rPr>
          <w:rFonts w:ascii="Times New Roman" w:hAnsi="Times New Roman" w:eastAsia="方正仿宋_GBK" w:cs="Times New Roman"/>
          <w:sz w:val="32"/>
          <w:highlight w:val="none"/>
        </w:rPr>
        <w:t>条，受让人同意本合同项下宗地建设项目在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六</w:t>
      </w:r>
      <w:r>
        <w:rPr>
          <w:rFonts w:ascii="Times New Roman" w:hAnsi="Times New Roman" w:eastAsia="方正仿宋_GBK" w:cs="Times New Roman"/>
          <w:sz w:val="32"/>
          <w:szCs w:val="32"/>
          <w:highlight w:val="none"/>
        </w:rPr>
        <w:t>、条款原文：第三十</w:t>
      </w:r>
      <w:r>
        <w:rPr>
          <w:rFonts w:hint="eastAsia" w:ascii="Times New Roman" w:hAnsi="Times New Roman" w:eastAsia="方正仿宋_GBK" w:cs="Times New Roman"/>
          <w:sz w:val="32"/>
          <w:szCs w:val="32"/>
          <w:highlight w:val="none"/>
          <w:lang w:val="en-US" w:eastAsia="zh-CN"/>
        </w:rPr>
        <w:t>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3"/>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pStyle w:val="2"/>
        <w:rPr>
          <w:rFonts w:ascii="Times New Roman" w:hAnsi="Times New Roman" w:eastAsia="方正仿宋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Times New Roman" w:hAnsi="Times New Roman" w:eastAsia="方正小标宋_GBK" w:cs="Times New Roman"/>
          <w:kern w:val="0"/>
          <w:sz w:val="44"/>
          <w:szCs w:val="44"/>
          <w:highlight w:val="none"/>
        </w:rPr>
      </w:pPr>
      <w:r>
        <w:rPr>
          <w:rFonts w:hint="eastAsia" w:ascii="Times New Roman" w:hAnsi="Times New Roman" w:eastAsia="方正小标宋_GBK" w:cs="Times New Roman"/>
          <w:kern w:val="0"/>
          <w:sz w:val="44"/>
          <w:szCs w:val="44"/>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资阳市自然资源和规划局：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我方</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（拍卖/挂牌/划拨）方式取得的国有建设用地使用权□出让合同∕□划拨决定书（□出让合同号∕□划拨决定书编号∕□电子监管号为</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,地块用途</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          联系电话: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lang w:val="en-US" w:eastAsia="zh-CN"/>
        </w:rPr>
        <w:t xml:space="preserve"> </w:t>
      </w:r>
      <w:r>
        <w:rPr>
          <w:rFonts w:hint="eastAsia" w:ascii="方正仿宋简体" w:hAnsi="方正仿宋简体" w:eastAsia="方正仿宋简体" w:cs="方正仿宋简体"/>
          <w:sz w:val="32"/>
          <w:szCs w:val="32"/>
          <w:highlight w:val="none"/>
        </w:rPr>
        <w:t>单位（印章）/个人：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r>
        <w:rPr>
          <w:rFonts w:hint="eastAsia" w:ascii="方正仿宋简体" w:hAnsi="方正仿宋简体" w:eastAsia="方正仿宋简体" w:cs="方正仿宋简体"/>
          <w:sz w:val="32"/>
          <w:szCs w:val="32"/>
          <w:highlight w:val="none"/>
          <w:lang w:eastAsia="zh-CN"/>
        </w:rPr>
        <w:t>。</w:t>
      </w:r>
    </w:p>
    <w:sectPr>
      <w:footerReference r:id="rId7" w:type="first"/>
      <w:footerReference r:id="rId5" w:type="default"/>
      <w:footerReference r:id="rId6" w:type="even"/>
      <w:pgSz w:w="11907" w:h="16840"/>
      <w:pgMar w:top="2098" w:right="1474" w:bottom="1985" w:left="1588" w:header="851" w:footer="1247" w:gutter="0"/>
      <w:pgNumType w:fmt="numberInDash" w:start="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大标宋_GBK">
    <w:panose1 w:val="02000000000000000000"/>
    <w:charset w:val="86"/>
    <w:family w:val="script"/>
    <w:pitch w:val="default"/>
    <w:sig w:usb0="A00002BF" w:usb1="08CF7CFA"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1m+E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ypUQzhZZfvn+7&#10;/Ph1+fmVxEtI1Fg/R+TOIja0b02L8OHe4zIyb0un4i84Efgh8PkqsGgD4fHRbDqbjeHi8A0H4GeP&#10;z63z4Z0wikQjpw4dTMKy09aHLnQIidm02dRSpi5KTZqc3rx+M04Prh6ASx1jRZqHHiZS6kqPVmj3&#10;bc9zb4ozaDrTzYq3fFOjlC3z4YE5DAfKx/qEe3xKaZDS9BYllXFf/nUf49EzeClpMGw51dgtSuR7&#10;jV4CMAyGG4z9YOijujOY3gnW0vJk4oELcjBLZ9Rn7NQq5oCLaY5MOQ2DeRe6gcdOcrFapaCjdfWh&#10;6h5gEi0LW72zPKaJUnm7OgZImxSPAnWqoFPxgFlMPev3Jg77n+cU9fhf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E1m+E5AgAAcwQAAA4AAAAAAAAAAQAgAAAAHwEAAGRycy9lMm9Eb2Mu&#10;eG1sUEsFBgAAAAAGAAYAWQEAAMoFAAAAAA==&#10;">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CNEk6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FGimULLzz++&#10;n3/+Pv/6RuIlJGqsnyPywSI2tO9Mi/Dh3uMyMm9Lp+IvOBH4IfDpIrBoA+Hx0Ww6m43h4vANB+Bn&#10;T8+t8+G9MIpEI6cOHUzCsuPWhy50CInZtNnUUqYuSk2anF5fvR2nBxcPwKWOsSLNQw8TKXWlRyu0&#10;u7bnuTPFCTSd6WbFW76pUcqW+XDPHIYD5WN9wh0+pTRIaXqLksq4r/+6j/HoGbyUNBi2nGrsFiXy&#10;g0YvARgGww3GbjD0Qd0aTO8Ea2l5MvHABTmYpTPqC3ZqFXPAxTRHppyGwbwN3cBjJ7lYrVLQwbp6&#10;X3UPMImWha1+sDymiVJ5uzoESJsUjwJ1qqBT8YBZTD3r9yYO+5/nFPX0X7F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wjRJOgIAAHMEAAAOAAAAAAAAAAEAIAAAAB8BAABkcnMvZTJvRG9j&#10;LnhtbFBLBQYAAAAABgAGAFkBAADLBQAAAAA=&#10;">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jc w:val="center"/>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pPr>
                      <w:pStyle w:val="10"/>
                      <w:jc w:val="center"/>
                      <w:rPr>
                        <w:rFonts w:hint="default" w:eastAsiaTheme="minorEastAsia"/>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3A84E"/>
    <w:multiLevelType w:val="singleLevel"/>
    <w:tmpl w:val="8C23A84E"/>
    <w:lvl w:ilvl="0" w:tentative="0">
      <w:start w:val="3"/>
      <w:numFmt w:val="decimal"/>
      <w:suff w:val="space"/>
      <w:lvlText w:val="%1."/>
      <w:lvlJc w:val="left"/>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2C5AA5B0"/>
    <w:multiLevelType w:val="singleLevel"/>
    <w:tmpl w:val="2C5AA5B0"/>
    <w:lvl w:ilvl="0" w:tentative="0">
      <w:start w:val="1"/>
      <w:numFmt w:val="chineseCounting"/>
      <w:suff w:val="nothing"/>
      <w:lvlText w:val="%1、"/>
      <w:lvlJc w:val="left"/>
      <w:rPr>
        <w:rFonts w:hint="eastAsia"/>
      </w:rPr>
    </w:lvl>
  </w:abstractNum>
  <w:abstractNum w:abstractNumId="3">
    <w:nsid w:val="5D0FDB1F"/>
    <w:multiLevelType w:val="singleLevel"/>
    <w:tmpl w:val="5D0FDB1F"/>
    <w:lvl w:ilvl="0" w:tentative="0">
      <w:start w:val="1"/>
      <w:numFmt w:val="decimal"/>
      <w:suff w:val="space"/>
      <w:lvlText w:val="%1."/>
      <w:lvlJc w:val="left"/>
    </w:lvl>
  </w:abstractNum>
  <w:abstractNum w:abstractNumId="4">
    <w:nsid w:val="7083BB8B"/>
    <w:multiLevelType w:val="singleLevel"/>
    <w:tmpl w:val="7083BB8B"/>
    <w:lvl w:ilvl="0" w:tentative="0">
      <w:start w:val="1"/>
      <w:numFmt w:val="decimal"/>
      <w:suff w:val="space"/>
      <w:lvlText w:val="%1."/>
      <w:lvlJc w:val="left"/>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23320AA"/>
    <w:rsid w:val="028D5D0E"/>
    <w:rsid w:val="033326EE"/>
    <w:rsid w:val="038463D3"/>
    <w:rsid w:val="04D754D4"/>
    <w:rsid w:val="069C6FFA"/>
    <w:rsid w:val="07900C0F"/>
    <w:rsid w:val="086D3F47"/>
    <w:rsid w:val="088F0A35"/>
    <w:rsid w:val="08EB1D4F"/>
    <w:rsid w:val="0D625445"/>
    <w:rsid w:val="11485C66"/>
    <w:rsid w:val="122C1CBB"/>
    <w:rsid w:val="124D4CCD"/>
    <w:rsid w:val="136B08EA"/>
    <w:rsid w:val="14A12470"/>
    <w:rsid w:val="165C0EA7"/>
    <w:rsid w:val="16626976"/>
    <w:rsid w:val="17E80D2B"/>
    <w:rsid w:val="19820B2C"/>
    <w:rsid w:val="19FF42D4"/>
    <w:rsid w:val="1BB642C5"/>
    <w:rsid w:val="1C1B5042"/>
    <w:rsid w:val="1DA47355"/>
    <w:rsid w:val="1EB36E82"/>
    <w:rsid w:val="1ECF724E"/>
    <w:rsid w:val="1ED44063"/>
    <w:rsid w:val="20687659"/>
    <w:rsid w:val="2441261B"/>
    <w:rsid w:val="25B06DFF"/>
    <w:rsid w:val="261C3F2B"/>
    <w:rsid w:val="268C2687"/>
    <w:rsid w:val="27605CAB"/>
    <w:rsid w:val="28AC7DA4"/>
    <w:rsid w:val="2B8D56E8"/>
    <w:rsid w:val="2D07249B"/>
    <w:rsid w:val="2D63143F"/>
    <w:rsid w:val="2F4E0533"/>
    <w:rsid w:val="30290B9F"/>
    <w:rsid w:val="309324EF"/>
    <w:rsid w:val="32622210"/>
    <w:rsid w:val="36A37D52"/>
    <w:rsid w:val="36BB0EB2"/>
    <w:rsid w:val="372322BD"/>
    <w:rsid w:val="38BD6EE0"/>
    <w:rsid w:val="39A03D95"/>
    <w:rsid w:val="3BE56581"/>
    <w:rsid w:val="3C9408F4"/>
    <w:rsid w:val="3D424389"/>
    <w:rsid w:val="3DA23A70"/>
    <w:rsid w:val="3EFF947B"/>
    <w:rsid w:val="3F583719"/>
    <w:rsid w:val="3FB069E3"/>
    <w:rsid w:val="3FB20485"/>
    <w:rsid w:val="3FFEFC91"/>
    <w:rsid w:val="42131322"/>
    <w:rsid w:val="441F65D0"/>
    <w:rsid w:val="44313EC6"/>
    <w:rsid w:val="45A34C72"/>
    <w:rsid w:val="45B20A82"/>
    <w:rsid w:val="46FE44B5"/>
    <w:rsid w:val="47131E72"/>
    <w:rsid w:val="48330274"/>
    <w:rsid w:val="48BD6141"/>
    <w:rsid w:val="48C47899"/>
    <w:rsid w:val="48CE1DB9"/>
    <w:rsid w:val="4B241C51"/>
    <w:rsid w:val="4B6F4BC8"/>
    <w:rsid w:val="4BA3159D"/>
    <w:rsid w:val="4E3D6E7B"/>
    <w:rsid w:val="4F3B7CFD"/>
    <w:rsid w:val="52CA0FF4"/>
    <w:rsid w:val="54590FDA"/>
    <w:rsid w:val="54DB791C"/>
    <w:rsid w:val="5503012E"/>
    <w:rsid w:val="579820F2"/>
    <w:rsid w:val="584C34DF"/>
    <w:rsid w:val="59614AA7"/>
    <w:rsid w:val="5AEF590A"/>
    <w:rsid w:val="5C360F60"/>
    <w:rsid w:val="5E5D7988"/>
    <w:rsid w:val="5E941DD8"/>
    <w:rsid w:val="5F6B127E"/>
    <w:rsid w:val="5FDE3A9D"/>
    <w:rsid w:val="61326821"/>
    <w:rsid w:val="616E1CFF"/>
    <w:rsid w:val="62251EDD"/>
    <w:rsid w:val="62676A44"/>
    <w:rsid w:val="638D4F33"/>
    <w:rsid w:val="655A2120"/>
    <w:rsid w:val="657775BD"/>
    <w:rsid w:val="660E6EE7"/>
    <w:rsid w:val="665D43A5"/>
    <w:rsid w:val="666E1771"/>
    <w:rsid w:val="66855163"/>
    <w:rsid w:val="675845CC"/>
    <w:rsid w:val="6AA352E1"/>
    <w:rsid w:val="6BF47FB4"/>
    <w:rsid w:val="6CD865C7"/>
    <w:rsid w:val="6F241E8E"/>
    <w:rsid w:val="6F6C6882"/>
    <w:rsid w:val="6FC57346"/>
    <w:rsid w:val="6FD6B83E"/>
    <w:rsid w:val="6FE239B4"/>
    <w:rsid w:val="70295008"/>
    <w:rsid w:val="70CE1A1E"/>
    <w:rsid w:val="714D2D21"/>
    <w:rsid w:val="716A57DC"/>
    <w:rsid w:val="71DE353F"/>
    <w:rsid w:val="74716307"/>
    <w:rsid w:val="77FD4909"/>
    <w:rsid w:val="796A7042"/>
    <w:rsid w:val="7B555B8F"/>
    <w:rsid w:val="7BB9309C"/>
    <w:rsid w:val="7C0D2CFF"/>
    <w:rsid w:val="7D7C1735"/>
    <w:rsid w:val="7D8B5121"/>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3"/>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4"/>
    <w:semiHidden/>
    <w:unhideWhenUsed/>
    <w:qFormat/>
    <w:uiPriority w:val="0"/>
    <w:pPr>
      <w:jc w:val="left"/>
      <w:outlineLvl w:val="3"/>
    </w:pPr>
    <w:rPr>
      <w:rFonts w:hint="eastAsia" w:ascii="宋体" w:hAnsi="宋体" w:eastAsia="宋体" w:cs="Times New Roman"/>
      <w:b/>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link w:val="25"/>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6"/>
    <w:qFormat/>
    <w:uiPriority w:val="0"/>
    <w:rPr>
      <w:rFonts w:ascii="宋体" w:hAnsi="Courier New" w:eastAsia="宋体" w:cs="宋体"/>
      <w:szCs w:val="32"/>
    </w:rPr>
  </w:style>
  <w:style w:type="paragraph" w:styleId="8">
    <w:name w:val="Date"/>
    <w:basedOn w:val="1"/>
    <w:next w:val="1"/>
    <w:link w:val="30"/>
    <w:semiHidden/>
    <w:unhideWhenUsed/>
    <w:qFormat/>
    <w:uiPriority w:val="99"/>
    <w:pPr>
      <w:ind w:left="100" w:leftChars="2500"/>
    </w:p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line number"/>
    <w:basedOn w:val="15"/>
    <w:qFormat/>
    <w:uiPriority w:val="0"/>
  </w:style>
  <w:style w:type="character" w:styleId="18">
    <w:name w:val="annotation reference"/>
    <w:basedOn w:val="15"/>
    <w:semiHidden/>
    <w:unhideWhenUsed/>
    <w:qFormat/>
    <w:uiPriority w:val="99"/>
    <w:rPr>
      <w:sz w:val="21"/>
      <w:szCs w:val="21"/>
    </w:rPr>
  </w:style>
  <w:style w:type="paragraph" w:customStyle="1" w:styleId="19">
    <w:name w:val="Body Text First Indent1"/>
    <w:basedOn w:val="3"/>
    <w:qFormat/>
    <w:uiPriority w:val="0"/>
    <w:pPr>
      <w:ind w:firstLine="420" w:firstLineChars="100"/>
    </w:pPr>
  </w:style>
  <w:style w:type="paragraph" w:customStyle="1" w:styleId="20">
    <w:name w:val="正文文本首行缩进1"/>
    <w:basedOn w:val="3"/>
    <w:qFormat/>
    <w:uiPriority w:val="0"/>
    <w:pPr>
      <w:ind w:firstLine="420" w:firstLineChars="100"/>
    </w:pPr>
  </w:style>
  <w:style w:type="character" w:customStyle="1" w:styleId="21">
    <w:name w:val="页眉 Char"/>
    <w:basedOn w:val="15"/>
    <w:link w:val="11"/>
    <w:qFormat/>
    <w:uiPriority w:val="99"/>
    <w:rPr>
      <w:sz w:val="18"/>
      <w:szCs w:val="18"/>
    </w:rPr>
  </w:style>
  <w:style w:type="character" w:customStyle="1" w:styleId="22">
    <w:name w:val="页脚 Char"/>
    <w:basedOn w:val="15"/>
    <w:link w:val="10"/>
    <w:qFormat/>
    <w:uiPriority w:val="99"/>
    <w:rPr>
      <w:sz w:val="18"/>
      <w:szCs w:val="18"/>
    </w:rPr>
  </w:style>
  <w:style w:type="character" w:customStyle="1" w:styleId="23">
    <w:name w:val="标题 1 Char"/>
    <w:basedOn w:val="15"/>
    <w:link w:val="4"/>
    <w:qFormat/>
    <w:uiPriority w:val="0"/>
    <w:rPr>
      <w:rFonts w:ascii="宋体" w:hAnsi="宋体" w:eastAsia="宋体" w:cs="Times New Roman"/>
      <w:b/>
      <w:kern w:val="44"/>
      <w:sz w:val="48"/>
      <w:szCs w:val="48"/>
    </w:rPr>
  </w:style>
  <w:style w:type="character" w:customStyle="1" w:styleId="24">
    <w:name w:val="标题 4 Char"/>
    <w:basedOn w:val="15"/>
    <w:link w:val="5"/>
    <w:semiHidden/>
    <w:qFormat/>
    <w:uiPriority w:val="0"/>
    <w:rPr>
      <w:rFonts w:ascii="宋体" w:hAnsi="宋体" w:eastAsia="宋体" w:cs="Times New Roman"/>
      <w:b/>
      <w:kern w:val="0"/>
      <w:sz w:val="24"/>
      <w:szCs w:val="24"/>
    </w:rPr>
  </w:style>
  <w:style w:type="character" w:customStyle="1" w:styleId="25">
    <w:name w:val="正文文本 Char"/>
    <w:basedOn w:val="15"/>
    <w:link w:val="3"/>
    <w:qFormat/>
    <w:uiPriority w:val="0"/>
    <w:rPr>
      <w:szCs w:val="24"/>
    </w:rPr>
  </w:style>
  <w:style w:type="character" w:customStyle="1" w:styleId="26">
    <w:name w:val="纯文本 Char"/>
    <w:basedOn w:val="15"/>
    <w:link w:val="7"/>
    <w:qFormat/>
    <w:uiPriority w:val="0"/>
    <w:rPr>
      <w:rFonts w:ascii="宋体" w:hAnsi="Courier New" w:eastAsia="宋体" w:cs="宋体"/>
      <w:szCs w:val="32"/>
    </w:rPr>
  </w:style>
  <w:style w:type="paragraph" w:customStyle="1" w:styleId="27">
    <w:name w:val="正文文本缩进1"/>
    <w:basedOn w:val="1"/>
    <w:next w:val="1"/>
    <w:qFormat/>
    <w:uiPriority w:val="0"/>
    <w:pPr>
      <w:spacing w:line="540" w:lineRule="exact"/>
      <w:ind w:firstLine="640"/>
    </w:pPr>
    <w:rPr>
      <w:rFonts w:ascii="仿宋_GB2312"/>
    </w:rPr>
  </w:style>
  <w:style w:type="character" w:customStyle="1" w:styleId="28">
    <w:name w:val="font51"/>
    <w:basedOn w:val="15"/>
    <w:qFormat/>
    <w:uiPriority w:val="0"/>
    <w:rPr>
      <w:rFonts w:hint="eastAsia" w:ascii="方正仿宋_GBK" w:hAnsi="方正仿宋_GBK" w:eastAsia="方正仿宋_GBK" w:cs="方正仿宋_GBK"/>
      <w:color w:val="000000"/>
      <w:sz w:val="24"/>
      <w:szCs w:val="24"/>
      <w:u w:val="none"/>
    </w:rPr>
  </w:style>
  <w:style w:type="character" w:customStyle="1" w:styleId="29">
    <w:name w:val="font11"/>
    <w:basedOn w:val="15"/>
    <w:qFormat/>
    <w:uiPriority w:val="0"/>
    <w:rPr>
      <w:rFonts w:hint="default" w:ascii="Times New Roman" w:hAnsi="Times New Roman" w:cs="Times New Roman"/>
      <w:color w:val="000000"/>
      <w:sz w:val="24"/>
      <w:szCs w:val="24"/>
      <w:u w:val="none"/>
    </w:rPr>
  </w:style>
  <w:style w:type="character" w:customStyle="1" w:styleId="30">
    <w:name w:val="日期 Char"/>
    <w:basedOn w:val="15"/>
    <w:link w:val="8"/>
    <w:semiHidden/>
    <w:qFormat/>
    <w:uiPriority w:val="99"/>
    <w:rPr>
      <w:szCs w:val="24"/>
    </w:rPr>
  </w:style>
  <w:style w:type="paragraph" w:customStyle="1" w:styleId="31">
    <w:name w:val="p0"/>
    <w:basedOn w:val="1"/>
    <w:qFormat/>
    <w:uiPriority w:val="0"/>
    <w:pPr>
      <w:widowControl/>
    </w:pPr>
    <w:rPr>
      <w:rFonts w:cs="宋体"/>
      <w:kern w:val="0"/>
      <w:szCs w:val="21"/>
    </w:rPr>
  </w:style>
  <w:style w:type="character" w:customStyle="1" w:styleId="32">
    <w:name w:val="批注框文本 Char"/>
    <w:basedOn w:val="15"/>
    <w:link w:val="9"/>
    <w:semiHidden/>
    <w:qFormat/>
    <w:uiPriority w:val="99"/>
    <w:rPr>
      <w:rFonts w:asciiTheme="minorHAnsi" w:hAnsiTheme="minorHAnsi" w:eastAsiaTheme="minorEastAsia" w:cstheme="minorBidi"/>
      <w:kern w:val="2"/>
      <w:sz w:val="18"/>
      <w:szCs w:val="18"/>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19994</Words>
  <Characters>20623</Characters>
  <Lines>165</Lines>
  <Paragraphs>46</Paragraphs>
  <TotalTime>8</TotalTime>
  <ScaleCrop>false</ScaleCrop>
  <LinksUpToDate>false</LinksUpToDate>
  <CharactersWithSpaces>23317</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封不觉</cp:lastModifiedBy>
  <cp:lastPrinted>2022-06-15T11:04:00Z</cp:lastPrinted>
  <dcterms:modified xsi:type="dcterms:W3CDTF">2022-07-12T06:47:20Z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64699E4B1ECA49F18C58D3CF9749E863</vt:lpwstr>
  </property>
</Properties>
</file>